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header1.xml" ContentType="application/vnd.openxmlformats-officedocument.wordprocessingml.header+xml"/>
  <Override PartName="/word/media/image1.png" ContentType="image/png"/>
  <Override PartName="/word/footnotes.xml" ContentType="application/vnd.openxmlformats-officedocument.wordprocessingml.footnotes+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word/_rels/header1.xml.rels" ContentType="application/vnd.openxmlformats-package.relationships+xml"/>
  <Override PartName="/word/_rels/footnotes.xml.rels" ContentType="application/vnd.openxmlformats-package.relationships+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pBdr/>
        <w:shd w:val="clear" w:color="auto" w:fill="C0C0C0"/>
        <w:tabs>
          <w:tab w:val="clear" w:pos="720"/>
          <w:tab w:val="left" w:pos="0" w:leader="none"/>
        </w:tabs>
        <w:ind w:left="-284" w:right="-426" w:hanging="0"/>
        <w:jc w:val="center"/>
        <w:rPr>
          <w:color w:val="FF0000"/>
          <w:sz w:val="10"/>
          <w:szCs w:val="10"/>
        </w:rPr>
      </w:pPr>
      <w:r>
        <w:rPr>
          <w:rFonts w:eastAsia="Verdana" w:cs="Verdana" w:ascii="Verdana" w:hAnsi="Verdana"/>
          <w:b/>
        </w:rPr>
        <w:t>CAPA DO EDITAL (LEI 14.133/2021)</w:t>
      </w:r>
    </w:p>
    <w:tbl>
      <w:tblPr>
        <w:tblStyle w:val="a"/>
        <w:tblW w:w="10065" w:type="dxa"/>
        <w:jc w:val="left"/>
        <w:tblInd w:w="-284" w:type="dxa"/>
        <w:tblLayout w:type="fixed"/>
        <w:tblCellMar>
          <w:top w:w="113" w:type="dxa"/>
          <w:left w:w="108" w:type="dxa"/>
          <w:bottom w:w="113" w:type="dxa"/>
          <w:right w:w="108" w:type="dxa"/>
        </w:tblCellMar>
        <w:tblLook w:firstRow="0" w:noVBand="1" w:lastRow="0" w:firstColumn="0" w:lastColumn="0" w:noHBand="0" w:val="0400"/>
      </w:tblPr>
      <w:tblGrid>
        <w:gridCol w:w="3119"/>
        <w:gridCol w:w="420"/>
        <w:gridCol w:w="2841"/>
        <w:gridCol w:w="136"/>
        <w:gridCol w:w="3549"/>
      </w:tblGrid>
      <w:tr>
        <w:trPr/>
        <w:tc>
          <w:tcPr>
            <w:tcW w:w="10065" w:type="dxa"/>
            <w:gridSpan w:val="5"/>
            <w:tcBorders>
              <w:top w:val="single" w:sz="4" w:space="0" w:color="000000"/>
              <w:left w:val="single" w:sz="4" w:space="0" w:color="000000"/>
              <w:bottom w:val="single" w:sz="4" w:space="0" w:color="000000"/>
              <w:right w:val="single" w:sz="4" w:space="0" w:color="000000"/>
            </w:tcBorders>
            <w:shd w:color="auto" w:fill="BFBFBF" w:val="clear"/>
          </w:tcPr>
          <w:p>
            <w:pPr>
              <w:pStyle w:val="Normal"/>
              <w:widowControl w:val="false"/>
              <w:jc w:val="center"/>
              <w:rPr>
                <w:rFonts w:ascii="Verdana" w:hAnsi="Verdana" w:eastAsia="Verdana" w:cs="Verdana"/>
                <w:b/>
                <w:b/>
                <w:strike/>
              </w:rPr>
            </w:pPr>
            <w:r>
              <w:rPr>
                <w:rFonts w:eastAsia="Verdana" w:cs="Verdana" w:ascii="Verdana" w:hAnsi="Verdana"/>
                <w:b/>
              </w:rPr>
              <w:t>CONTRATANTE: PODER JUDICIÁRIO DO ESTADO DO ESPÍRITO SANTO</w:t>
            </w:r>
          </w:p>
        </w:tc>
      </w:tr>
      <w:tr>
        <w:trPr/>
        <w:tc>
          <w:tcPr>
            <w:tcW w:w="3539" w:type="dxa"/>
            <w:gridSpan w:val="2"/>
            <w:tcBorders>
              <w:top w:val="single" w:sz="4" w:space="0" w:color="000000"/>
              <w:left w:val="single" w:sz="4" w:space="0" w:color="000000"/>
              <w:bottom w:val="single" w:sz="4" w:space="0" w:color="000000"/>
              <w:right w:val="single" w:sz="4" w:space="0" w:color="000000"/>
            </w:tcBorders>
            <w:shd w:color="auto" w:fill="F2F2F2" w:val="clear"/>
            <w:tcMar>
              <w:top w:w="57" w:type="dxa"/>
              <w:bottom w:w="57" w:type="dxa"/>
            </w:tcMar>
            <w:vAlign w:val="center"/>
          </w:tcPr>
          <w:p>
            <w:pPr>
              <w:pStyle w:val="Normal"/>
              <w:widowControl w:val="false"/>
              <w:jc w:val="center"/>
              <w:rPr>
                <w:rFonts w:ascii="Verdana" w:hAnsi="Verdana" w:eastAsia="Verdana" w:cs="Verdana"/>
                <w:b/>
                <w:b/>
                <w:sz w:val="16"/>
                <w:szCs w:val="16"/>
              </w:rPr>
            </w:pPr>
            <w:r>
              <w:rPr>
                <w:rFonts w:eastAsia="Verdana" w:cs="Verdana" w:ascii="Verdana" w:hAnsi="Verdana"/>
                <w:b/>
                <w:sz w:val="16"/>
                <w:szCs w:val="16"/>
              </w:rPr>
              <w:t>Pregão Eletrônico nº PE</w:t>
            </w:r>
            <w:r>
              <w:rPr>
                <w:rFonts w:eastAsia="Verdana" w:cs="Verdana" w:ascii="Verdana" w:hAnsi="Verdana"/>
                <w:b/>
                <w:sz w:val="16"/>
                <w:szCs w:val="16"/>
              </w:rPr>
              <w:t>095</w:t>
            </w:r>
            <w:r>
              <w:rPr>
                <w:rFonts w:eastAsia="Verdana" w:cs="Verdana" w:ascii="Verdana" w:hAnsi="Verdana"/>
                <w:b/>
                <w:sz w:val="16"/>
                <w:szCs w:val="16"/>
              </w:rPr>
              <w:t>/2023</w:t>
            </w:r>
          </w:p>
          <w:p>
            <w:pPr>
              <w:pStyle w:val="Normal"/>
              <w:widowControl w:val="false"/>
              <w:jc w:val="center"/>
              <w:rPr>
                <w:rFonts w:ascii="Verdana" w:hAnsi="Verdana" w:eastAsia="Verdana" w:cs="Verdana"/>
                <w:b/>
                <w:b/>
                <w:sz w:val="16"/>
                <w:szCs w:val="16"/>
              </w:rPr>
            </w:pPr>
            <w:r>
              <w:rPr>
                <w:rFonts w:eastAsia="Verdana" w:cs="Verdana" w:ascii="Verdana" w:hAnsi="Verdana"/>
                <w:b/>
                <w:sz w:val="16"/>
                <w:szCs w:val="16"/>
              </w:rPr>
              <w:t>SEI Nº 7003860-85.2023.8.08.0000</w:t>
            </w:r>
          </w:p>
        </w:tc>
        <w:tc>
          <w:tcPr>
            <w:tcW w:w="2977" w:type="dxa"/>
            <w:gridSpan w:val="2"/>
            <w:tcBorders>
              <w:top w:val="single" w:sz="4" w:space="0" w:color="000000"/>
              <w:left w:val="single" w:sz="4" w:space="0" w:color="000000"/>
              <w:bottom w:val="single" w:sz="4" w:space="0" w:color="000000"/>
              <w:right w:val="single" w:sz="4" w:space="0" w:color="000000"/>
            </w:tcBorders>
            <w:shd w:color="auto" w:fill="F2F2F2" w:val="clear"/>
            <w:tcMar>
              <w:top w:w="0" w:type="dxa"/>
              <w:bottom w:w="0" w:type="dxa"/>
            </w:tcMar>
            <w:vAlign w:val="center"/>
          </w:tcPr>
          <w:p>
            <w:pPr>
              <w:pStyle w:val="Normal"/>
              <w:widowControl w:val="false"/>
              <w:ind w:left="-41" w:right="-32" w:hanging="0"/>
              <w:jc w:val="center"/>
              <w:rPr>
                <w:rFonts w:ascii="Verdana" w:hAnsi="Verdana" w:eastAsia="Verdana" w:cs="Verdana"/>
                <w:sz w:val="16"/>
                <w:szCs w:val="16"/>
              </w:rPr>
            </w:pPr>
            <w:r>
              <w:rPr>
                <w:rFonts w:eastAsia="Verdana" w:cs="Verdana" w:ascii="Verdana" w:hAnsi="Verdana"/>
                <w:b/>
                <w:sz w:val="16"/>
                <w:szCs w:val="16"/>
              </w:rPr>
              <w:t>CIC TCE-ES n.º 2023.500J1200001.02.0048</w:t>
            </w:r>
          </w:p>
        </w:tc>
        <w:tc>
          <w:tcPr>
            <w:tcW w:w="3549" w:type="dxa"/>
            <w:tcBorders>
              <w:top w:val="single" w:sz="4" w:space="0" w:color="000000"/>
              <w:left w:val="single" w:sz="4" w:space="0" w:color="000000"/>
              <w:bottom w:val="single" w:sz="4" w:space="0" w:color="000000"/>
              <w:right w:val="single" w:sz="4" w:space="0" w:color="000000"/>
            </w:tcBorders>
            <w:shd w:color="auto" w:fill="F2F2F2" w:val="clear"/>
            <w:tcMar>
              <w:top w:w="57" w:type="dxa"/>
              <w:bottom w:w="57" w:type="dxa"/>
            </w:tcMar>
          </w:tcPr>
          <w:p>
            <w:pPr>
              <w:pStyle w:val="Normal"/>
              <w:widowControl w:val="false"/>
              <w:ind w:right="-175" w:hanging="0"/>
              <w:rPr>
                <w:rFonts w:ascii="Verdana" w:hAnsi="Verdana" w:eastAsia="Verdana" w:cs="Verdana"/>
                <w:b/>
                <w:b/>
                <w:sz w:val="16"/>
                <w:szCs w:val="16"/>
              </w:rPr>
            </w:pPr>
            <w:r>
              <w:rPr>
                <w:rFonts w:eastAsia="Verdana" w:cs="Verdana" w:ascii="Verdana" w:hAnsi="Verdana"/>
                <w:b/>
                <w:sz w:val="16"/>
                <w:szCs w:val="16"/>
              </w:rPr>
              <w:t xml:space="preserve">Data de Abertura: </w:t>
            </w:r>
            <w:r>
              <w:rPr>
                <w:rFonts w:eastAsia="Verdana" w:cs="Verdana" w:ascii="Verdana" w:hAnsi="Verdana"/>
                <w:b/>
                <w:sz w:val="16"/>
                <w:szCs w:val="16"/>
              </w:rPr>
              <w:t>29</w:t>
            </w:r>
            <w:r>
              <w:rPr>
                <w:rFonts w:eastAsia="Verdana" w:cs="Verdana" w:ascii="Verdana" w:hAnsi="Verdana"/>
                <w:b/>
                <w:sz w:val="16"/>
                <w:szCs w:val="16"/>
              </w:rPr>
              <w:t>/</w:t>
            </w:r>
            <w:r>
              <w:rPr>
                <w:rFonts w:eastAsia="Verdana" w:cs="Verdana" w:ascii="Verdana" w:hAnsi="Verdana"/>
                <w:b/>
                <w:sz w:val="16"/>
                <w:szCs w:val="16"/>
              </w:rPr>
              <w:t>11</w:t>
            </w:r>
            <w:r>
              <w:rPr>
                <w:rFonts w:eastAsia="Verdana" w:cs="Verdana" w:ascii="Verdana" w:hAnsi="Verdana"/>
                <w:b/>
                <w:sz w:val="16"/>
                <w:szCs w:val="16"/>
              </w:rPr>
              <w:t xml:space="preserve">/2023, às </w:t>
            </w:r>
            <w:r>
              <w:rPr>
                <w:rFonts w:eastAsia="Verdana" w:cs="Verdana" w:ascii="Verdana" w:hAnsi="Verdana"/>
                <w:b/>
                <w:sz w:val="16"/>
                <w:szCs w:val="16"/>
              </w:rPr>
              <w:t>14</w:t>
            </w:r>
            <w:r>
              <w:rPr>
                <w:rFonts w:eastAsia="Verdana" w:cs="Verdana" w:ascii="Verdana" w:hAnsi="Verdana"/>
                <w:b/>
                <w:sz w:val="16"/>
                <w:szCs w:val="16"/>
              </w:rPr>
              <w:t xml:space="preserve">:00h  no sítio www.comprasgovernamentais.gov.br </w:t>
            </w:r>
          </w:p>
        </w:tc>
      </w:tr>
      <w:tr>
        <w:trPr/>
        <w:tc>
          <w:tcPr>
            <w:tcW w:w="6516" w:type="dxa"/>
            <w:gridSpan w:val="4"/>
            <w:tcBorders>
              <w:top w:val="single" w:sz="4" w:space="0" w:color="000000"/>
              <w:left w:val="single" w:sz="4" w:space="0" w:color="000000"/>
              <w:right w:val="single" w:sz="4" w:space="0" w:color="000000"/>
            </w:tcBorders>
            <w:shd w:color="auto" w:fill="D9D9D9" w:val="clear"/>
            <w:tcMar>
              <w:top w:w="28" w:type="dxa"/>
              <w:bottom w:w="28" w:type="dxa"/>
            </w:tcMar>
          </w:tcPr>
          <w:p>
            <w:pPr>
              <w:pStyle w:val="Normal"/>
              <w:widowControl w:val="false"/>
              <w:rPr>
                <w:rFonts w:ascii="Verdana" w:hAnsi="Verdana" w:eastAsia="Verdana" w:cs="Verdana"/>
                <w:b/>
                <w:b/>
                <w:sz w:val="18"/>
                <w:szCs w:val="18"/>
              </w:rPr>
            </w:pPr>
            <w:r>
              <w:rPr>
                <w:rFonts w:eastAsia="Verdana" w:cs="Verdana" w:ascii="Verdana" w:hAnsi="Verdana"/>
                <w:b/>
                <w:sz w:val="18"/>
                <w:szCs w:val="18"/>
              </w:rPr>
              <w:t>Pedidos de Esclarecimentos e Impugnações</w:t>
            </w:r>
          </w:p>
        </w:tc>
        <w:tc>
          <w:tcPr>
            <w:tcW w:w="3549" w:type="dxa"/>
            <w:tcBorders>
              <w:top w:val="single" w:sz="4" w:space="0" w:color="000000"/>
              <w:left w:val="single" w:sz="4" w:space="0" w:color="000000"/>
              <w:right w:val="single" w:sz="4" w:space="0" w:color="000000"/>
            </w:tcBorders>
            <w:shd w:color="auto" w:fill="D9D9D9" w:val="clear"/>
            <w:tcMar>
              <w:top w:w="28" w:type="dxa"/>
              <w:bottom w:w="28" w:type="dxa"/>
            </w:tcMar>
          </w:tcPr>
          <w:p>
            <w:pPr>
              <w:pStyle w:val="Normal"/>
              <w:widowControl w:val="false"/>
              <w:rPr>
                <w:rFonts w:ascii="Verdana" w:hAnsi="Verdana" w:eastAsia="Verdana" w:cs="Verdana"/>
                <w:b/>
                <w:b/>
                <w:sz w:val="18"/>
                <w:szCs w:val="18"/>
              </w:rPr>
            </w:pPr>
            <w:r>
              <w:rPr>
                <w:rFonts w:eastAsia="Verdana" w:cs="Verdana" w:ascii="Verdana" w:hAnsi="Verdana"/>
                <w:b/>
                <w:sz w:val="18"/>
                <w:szCs w:val="18"/>
              </w:rPr>
              <w:t>Contatos:</w:t>
            </w:r>
          </w:p>
        </w:tc>
      </w:tr>
      <w:tr>
        <w:trPr/>
        <w:tc>
          <w:tcPr>
            <w:tcW w:w="6516" w:type="dxa"/>
            <w:gridSpan w:val="4"/>
            <w:tcBorders>
              <w:left w:val="single" w:sz="4" w:space="0" w:color="000000"/>
              <w:bottom w:val="single" w:sz="4" w:space="0" w:color="000000"/>
              <w:right w:val="single" w:sz="4" w:space="0" w:color="000000"/>
            </w:tcBorders>
            <w:shd w:color="auto" w:fill="FFFFFF" w:val="clear"/>
            <w:tcMar>
              <w:top w:w="28" w:type="dxa"/>
              <w:bottom w:w="28" w:type="dxa"/>
            </w:tcMar>
          </w:tcPr>
          <w:p>
            <w:pPr>
              <w:pStyle w:val="Normal"/>
              <w:widowControl w:val="false"/>
              <w:rPr>
                <w:rFonts w:ascii="Verdana" w:hAnsi="Verdana" w:eastAsia="Verdana" w:cs="Verdana"/>
                <w:sz w:val="18"/>
                <w:szCs w:val="18"/>
              </w:rPr>
            </w:pPr>
            <w:r>
              <w:rPr>
                <w:rFonts w:eastAsia="Verdana" w:cs="Verdana" w:ascii="Verdana" w:hAnsi="Verdana"/>
                <w:b/>
                <w:sz w:val="18"/>
                <w:szCs w:val="18"/>
              </w:rPr>
              <w:t>Esclarecimentos e Impugnações:</w:t>
            </w:r>
            <w:r>
              <w:rPr>
                <w:rFonts w:eastAsia="Verdana" w:cs="Verdana" w:ascii="Verdana" w:hAnsi="Verdana"/>
                <w:sz w:val="18"/>
                <w:szCs w:val="18"/>
              </w:rPr>
              <w:t xml:space="preserve"> Até dia </w:t>
            </w:r>
            <w:r>
              <w:rPr>
                <w:rFonts w:eastAsia="Verdana" w:cs="Verdana" w:ascii="Verdana" w:hAnsi="Verdana"/>
                <w:sz w:val="18"/>
                <w:szCs w:val="18"/>
              </w:rPr>
              <w:t>24</w:t>
            </w:r>
            <w:r>
              <w:rPr>
                <w:rFonts w:eastAsia="Verdana" w:cs="Verdana" w:ascii="Verdana" w:hAnsi="Verdana"/>
                <w:sz w:val="18"/>
                <w:szCs w:val="18"/>
              </w:rPr>
              <w:t>/</w:t>
            </w:r>
            <w:r>
              <w:rPr>
                <w:rFonts w:eastAsia="Verdana" w:cs="Verdana" w:ascii="Verdana" w:hAnsi="Verdana"/>
                <w:sz w:val="18"/>
                <w:szCs w:val="18"/>
              </w:rPr>
              <w:t>11</w:t>
            </w:r>
          </w:p>
          <w:p>
            <w:pPr>
              <w:pStyle w:val="Normal"/>
              <w:widowControl w:val="false"/>
              <w:rPr>
                <w:rFonts w:ascii="Verdana" w:hAnsi="Verdana" w:eastAsia="Verdana" w:cs="Verdana"/>
                <w:sz w:val="18"/>
                <w:szCs w:val="18"/>
              </w:rPr>
            </w:pPr>
            <w:r>
              <w:rPr>
                <w:rFonts w:eastAsia="Verdana" w:cs="Verdana" w:ascii="Verdana" w:hAnsi="Verdana"/>
                <w:sz w:val="18"/>
                <w:szCs w:val="18"/>
              </w:rPr>
              <w:t xml:space="preserve">Os pedidos devem ser feitos pelo e-mail </w:t>
            </w:r>
            <w:hyperlink r:id="rId2">
              <w:r>
                <w:rPr>
                  <w:rFonts w:eastAsia="Verdana" w:cs="Verdana" w:ascii="Verdana" w:hAnsi="Verdana"/>
                  <w:sz w:val="18"/>
                  <w:szCs w:val="18"/>
                  <w:u w:val="single"/>
                </w:rPr>
                <w:t>contratacao@tjes.jus.br</w:t>
              </w:r>
            </w:hyperlink>
          </w:p>
        </w:tc>
        <w:tc>
          <w:tcPr>
            <w:tcW w:w="3549" w:type="dxa"/>
            <w:tcBorders>
              <w:left w:val="single" w:sz="4" w:space="0" w:color="000000"/>
              <w:bottom w:val="single" w:sz="4" w:space="0" w:color="000000"/>
              <w:right w:val="single" w:sz="4" w:space="0" w:color="000000"/>
            </w:tcBorders>
            <w:shd w:color="auto" w:fill="FFFFFF" w:val="clear"/>
            <w:tcMar>
              <w:top w:w="28" w:type="dxa"/>
              <w:bottom w:w="28" w:type="dxa"/>
            </w:tcMar>
          </w:tcPr>
          <w:p>
            <w:pPr>
              <w:pStyle w:val="Normal"/>
              <w:widowControl w:val="false"/>
              <w:rPr>
                <w:rFonts w:ascii="Verdana" w:hAnsi="Verdana" w:eastAsia="Verdana" w:cs="Verdana"/>
                <w:sz w:val="18"/>
                <w:szCs w:val="18"/>
              </w:rPr>
            </w:pPr>
            <w:r>
              <w:rPr>
                <w:rFonts w:eastAsia="Verdana" w:cs="Verdana" w:ascii="Verdana" w:hAnsi="Verdana"/>
                <w:sz w:val="18"/>
                <w:szCs w:val="18"/>
              </w:rPr>
              <w:t xml:space="preserve">(27) 3334-2172/2328/2193 – </w:t>
            </w:r>
            <w:hyperlink r:id="rId3">
              <w:r>
                <w:rPr>
                  <w:rFonts w:eastAsia="Verdana" w:cs="Verdana" w:ascii="Verdana" w:hAnsi="Verdana"/>
                  <w:sz w:val="18"/>
                  <w:szCs w:val="18"/>
                  <w:u w:val="single"/>
                </w:rPr>
                <w:t>contratacao@tjes.jus.br</w:t>
              </w:r>
            </w:hyperlink>
          </w:p>
        </w:tc>
      </w:tr>
      <w:tr>
        <w:trPr>
          <w:trHeight w:val="604" w:hRule="atLeast"/>
        </w:trPr>
        <w:tc>
          <w:tcPr>
            <w:tcW w:w="10065" w:type="dxa"/>
            <w:gridSpan w:val="5"/>
            <w:tcBorders>
              <w:top w:val="single" w:sz="4" w:space="0" w:color="000000"/>
              <w:left w:val="single" w:sz="4" w:space="0" w:color="000000"/>
              <w:right w:val="single" w:sz="4" w:space="0" w:color="000000"/>
            </w:tcBorders>
            <w:shd w:color="auto" w:fill="D9D9D9" w:val="clear"/>
            <w:tcMar>
              <w:top w:w="28" w:type="dxa"/>
              <w:bottom w:w="28" w:type="dxa"/>
            </w:tcMar>
            <w:vAlign w:val="center"/>
          </w:tcPr>
          <w:p>
            <w:pPr>
              <w:pStyle w:val="Normal"/>
              <w:widowControl w:val="false"/>
              <w:jc w:val="both"/>
              <w:rPr>
                <w:rFonts w:ascii="Verdana" w:hAnsi="Verdana" w:eastAsia="Verdana" w:cs="Verdana"/>
                <w:b/>
                <w:b/>
                <w:sz w:val="18"/>
                <w:szCs w:val="18"/>
              </w:rPr>
            </w:pPr>
            <w:r>
              <w:rPr>
                <w:rFonts w:eastAsia="Verdana" w:cs="Verdana" w:ascii="Verdana" w:hAnsi="Verdana"/>
                <w:b/>
                <w:sz w:val="18"/>
                <w:szCs w:val="18"/>
              </w:rPr>
              <w:t xml:space="preserve">Os Esclarecimentos /Impugnação e respostas/decisão serão disponibilizados no sítio do Portal Transparência do PJES </w:t>
            </w:r>
            <w:r>
              <w:rPr>
                <w:rFonts w:eastAsia="Verdana" w:cs="Verdana" w:ascii="Verdana" w:hAnsi="Verdana"/>
                <w:sz w:val="18"/>
                <w:szCs w:val="18"/>
                <w:u w:val="single"/>
              </w:rPr>
              <w:t>(www.tjes.jus.br &gt; Portal da Transparência &gt; Licitações e Contratos &gt; Licitações)</w:t>
            </w:r>
          </w:p>
        </w:tc>
      </w:tr>
      <w:tr>
        <w:trPr/>
        <w:tc>
          <w:tcPr>
            <w:tcW w:w="10065" w:type="dxa"/>
            <w:gridSpan w:val="5"/>
            <w:tcBorders>
              <w:top w:val="single" w:sz="4" w:space="0" w:color="000000"/>
              <w:left w:val="single" w:sz="4" w:space="0" w:color="000000"/>
              <w:right w:val="single" w:sz="4" w:space="0" w:color="000000"/>
            </w:tcBorders>
            <w:shd w:color="auto" w:fill="D9D9D9" w:val="clear"/>
            <w:tcMar>
              <w:top w:w="28" w:type="dxa"/>
              <w:bottom w:w="28" w:type="dxa"/>
            </w:tcMar>
          </w:tcPr>
          <w:p>
            <w:pPr>
              <w:pStyle w:val="Normal"/>
              <w:widowControl w:val="false"/>
              <w:rPr>
                <w:rFonts w:ascii="Verdana" w:hAnsi="Verdana" w:eastAsia="Verdana" w:cs="Verdana"/>
                <w:b/>
                <w:b/>
                <w:sz w:val="18"/>
                <w:szCs w:val="18"/>
              </w:rPr>
            </w:pPr>
            <w:r>
              <w:rPr>
                <w:rFonts w:eastAsia="Verdana" w:cs="Verdana" w:ascii="Verdana" w:hAnsi="Verdana"/>
                <w:b/>
                <w:sz w:val="18"/>
                <w:szCs w:val="18"/>
              </w:rPr>
              <w:t>Objeto</w:t>
            </w:r>
          </w:p>
        </w:tc>
      </w:tr>
      <w:tr>
        <w:trPr/>
        <w:tc>
          <w:tcPr>
            <w:tcW w:w="10065" w:type="dxa"/>
            <w:gridSpan w:val="5"/>
            <w:tcBorders>
              <w:left w:val="single" w:sz="4" w:space="0" w:color="000000"/>
              <w:bottom w:val="single" w:sz="4" w:space="0" w:color="000000"/>
              <w:right w:val="single" w:sz="4" w:space="0" w:color="000000"/>
            </w:tcBorders>
            <w:tcMar>
              <w:top w:w="28" w:type="dxa"/>
              <w:bottom w:w="28" w:type="dxa"/>
            </w:tcMar>
          </w:tcPr>
          <w:p>
            <w:pPr>
              <w:pStyle w:val="Normal"/>
              <w:widowControl w:val="false"/>
              <w:jc w:val="both"/>
              <w:rPr>
                <w:rFonts w:ascii="Verdana" w:hAnsi="Verdana" w:eastAsia="Verdana" w:cs="Verdana"/>
                <w:sz w:val="18"/>
                <w:szCs w:val="18"/>
              </w:rPr>
            </w:pPr>
            <w:r>
              <w:rPr>
                <w:rFonts w:eastAsia="Verdana" w:cs="Verdana" w:ascii="Verdana" w:hAnsi="Verdana"/>
                <w:b/>
                <w:sz w:val="18"/>
                <w:szCs w:val="18"/>
              </w:rPr>
              <w:t>REGISTRO DE PREÇOS</w:t>
            </w:r>
            <w:r>
              <w:rPr>
                <w:rFonts w:eastAsia="Verdana" w:cs="Verdana" w:ascii="Verdana" w:hAnsi="Verdana"/>
                <w:sz w:val="18"/>
                <w:szCs w:val="18"/>
              </w:rPr>
              <w:t xml:space="preserve"> para eventual fornecimento e instalação de persianas e películas nas unidades do Poder Judiciário do Estado do Espírito Santo.</w:t>
            </w:r>
          </w:p>
        </w:tc>
      </w:tr>
      <w:tr>
        <w:trPr/>
        <w:tc>
          <w:tcPr>
            <w:tcW w:w="3119" w:type="dxa"/>
            <w:tcBorders>
              <w:top w:val="single" w:sz="4" w:space="0" w:color="000000"/>
              <w:left w:val="single" w:sz="4" w:space="0" w:color="000000"/>
              <w:right w:val="single" w:sz="4" w:space="0" w:color="000000"/>
            </w:tcBorders>
            <w:shd w:color="auto" w:fill="D9D9D9" w:val="clear"/>
            <w:tcMar>
              <w:top w:w="28" w:type="dxa"/>
              <w:bottom w:w="28" w:type="dxa"/>
            </w:tcMar>
            <w:vAlign w:val="center"/>
          </w:tcPr>
          <w:p>
            <w:pPr>
              <w:pStyle w:val="Normal"/>
              <w:widowControl w:val="false"/>
              <w:jc w:val="center"/>
              <w:rPr>
                <w:rFonts w:ascii="Verdana" w:hAnsi="Verdana" w:eastAsia="Verdana" w:cs="Verdana"/>
                <w:b/>
                <w:b/>
                <w:sz w:val="18"/>
                <w:szCs w:val="18"/>
              </w:rPr>
            </w:pPr>
            <w:r>
              <w:rPr>
                <w:rFonts w:eastAsia="Verdana" w:cs="Verdana" w:ascii="Verdana" w:hAnsi="Verdana"/>
                <w:b/>
                <w:sz w:val="18"/>
                <w:szCs w:val="18"/>
              </w:rPr>
              <w:t>Registro de Preços</w:t>
            </w:r>
          </w:p>
        </w:tc>
        <w:tc>
          <w:tcPr>
            <w:tcW w:w="6946" w:type="dxa"/>
            <w:gridSpan w:val="4"/>
            <w:tcBorders>
              <w:top w:val="single" w:sz="4" w:space="0" w:color="000000"/>
              <w:left w:val="single" w:sz="4" w:space="0" w:color="000000"/>
              <w:right w:val="single" w:sz="4" w:space="0" w:color="000000"/>
            </w:tcBorders>
            <w:shd w:color="auto" w:fill="D9D9D9" w:val="clear"/>
            <w:tcMar>
              <w:top w:w="28" w:type="dxa"/>
              <w:bottom w:w="28" w:type="dxa"/>
            </w:tcMar>
            <w:vAlign w:val="center"/>
          </w:tcPr>
          <w:p>
            <w:pPr>
              <w:pStyle w:val="Normal"/>
              <w:widowControl w:val="false"/>
              <w:jc w:val="center"/>
              <w:rPr>
                <w:rFonts w:ascii="Verdana" w:hAnsi="Verdana" w:eastAsia="Verdana" w:cs="Verdana"/>
                <w:b/>
                <w:b/>
                <w:sz w:val="18"/>
                <w:szCs w:val="18"/>
              </w:rPr>
            </w:pPr>
            <w:r>
              <w:rPr>
                <w:rFonts w:eastAsia="Verdana" w:cs="Verdana" w:ascii="Verdana" w:hAnsi="Verdana"/>
                <w:b/>
                <w:sz w:val="18"/>
                <w:szCs w:val="18"/>
              </w:rPr>
              <w:t>Participação Exclusiva de ME e EPP</w:t>
            </w:r>
          </w:p>
        </w:tc>
      </w:tr>
      <w:tr>
        <w:trPr>
          <w:trHeight w:val="233" w:hRule="atLeast"/>
        </w:trPr>
        <w:tc>
          <w:tcPr>
            <w:tcW w:w="3119" w:type="dxa"/>
            <w:tcBorders>
              <w:left w:val="single" w:sz="4" w:space="0" w:color="000000"/>
              <w:bottom w:val="single" w:sz="4" w:space="0" w:color="000000"/>
              <w:right w:val="single" w:sz="4" w:space="0" w:color="000000"/>
            </w:tcBorders>
            <w:tcMar>
              <w:top w:w="28" w:type="dxa"/>
              <w:bottom w:w="28" w:type="dxa"/>
            </w:tcMar>
            <w:vAlign w:val="center"/>
          </w:tcPr>
          <w:p>
            <w:pPr>
              <w:pStyle w:val="Normal"/>
              <w:widowControl w:val="false"/>
              <w:jc w:val="center"/>
              <w:rPr>
                <w:rFonts w:ascii="Verdana" w:hAnsi="Verdana" w:eastAsia="Verdana" w:cs="Verdana"/>
                <w:b/>
                <w:b/>
                <w:sz w:val="18"/>
                <w:szCs w:val="18"/>
              </w:rPr>
            </w:pPr>
            <w:r>
              <w:rPr>
                <w:rFonts w:eastAsia="Verdana" w:cs="Verdana" w:ascii="Verdana" w:hAnsi="Verdana"/>
                <w:b/>
                <w:sz w:val="18"/>
                <w:szCs w:val="18"/>
              </w:rPr>
              <w:t>SIM</w:t>
            </w:r>
          </w:p>
        </w:tc>
        <w:tc>
          <w:tcPr>
            <w:tcW w:w="6946" w:type="dxa"/>
            <w:gridSpan w:val="4"/>
            <w:tcBorders>
              <w:left w:val="single" w:sz="4" w:space="0" w:color="000000"/>
              <w:bottom w:val="single" w:sz="4" w:space="0" w:color="000000"/>
              <w:right w:val="single" w:sz="4" w:space="0" w:color="000000"/>
            </w:tcBorders>
            <w:tcMar>
              <w:top w:w="28" w:type="dxa"/>
              <w:bottom w:w="28" w:type="dxa"/>
            </w:tcMar>
          </w:tcPr>
          <w:p>
            <w:pPr>
              <w:pStyle w:val="Normal"/>
              <w:widowControl w:val="false"/>
              <w:jc w:val="center"/>
              <w:rPr>
                <w:rFonts w:ascii="Verdana" w:hAnsi="Verdana" w:eastAsia="Verdana" w:cs="Verdana"/>
                <w:b/>
                <w:b/>
                <w:sz w:val="18"/>
                <w:szCs w:val="18"/>
              </w:rPr>
            </w:pPr>
            <w:r>
              <w:rPr>
                <w:rFonts w:eastAsia="Verdana" w:cs="Verdana" w:ascii="Verdana" w:hAnsi="Verdana"/>
                <w:b/>
                <w:sz w:val="18"/>
                <w:szCs w:val="18"/>
              </w:rPr>
              <w:t>NÃO</w:t>
            </w:r>
          </w:p>
        </w:tc>
      </w:tr>
      <w:tr>
        <w:trPr/>
        <w:tc>
          <w:tcPr>
            <w:tcW w:w="3119" w:type="dxa"/>
            <w:tcBorders>
              <w:top w:val="single" w:sz="4" w:space="0" w:color="000000"/>
              <w:left w:val="single" w:sz="4" w:space="0" w:color="000000"/>
              <w:right w:val="single" w:sz="4" w:space="0" w:color="000000"/>
            </w:tcBorders>
            <w:shd w:color="auto" w:fill="D9D9D9" w:val="clear"/>
            <w:tcMar>
              <w:top w:w="28" w:type="dxa"/>
              <w:bottom w:w="28" w:type="dxa"/>
            </w:tcMar>
            <w:vAlign w:val="center"/>
          </w:tcPr>
          <w:p>
            <w:pPr>
              <w:pStyle w:val="Normal"/>
              <w:widowControl w:val="false"/>
              <w:jc w:val="center"/>
              <w:rPr>
                <w:rFonts w:ascii="Verdana" w:hAnsi="Verdana" w:eastAsia="Verdana" w:cs="Verdana"/>
                <w:b/>
                <w:b/>
                <w:sz w:val="18"/>
                <w:szCs w:val="18"/>
              </w:rPr>
            </w:pPr>
            <w:r>
              <w:rPr>
                <w:rFonts w:eastAsia="Verdana" w:cs="Verdana" w:ascii="Verdana" w:hAnsi="Verdana"/>
                <w:b/>
                <w:sz w:val="18"/>
                <w:szCs w:val="18"/>
              </w:rPr>
              <w:t>Critério de Julgamento</w:t>
            </w:r>
          </w:p>
        </w:tc>
        <w:tc>
          <w:tcPr>
            <w:tcW w:w="3261" w:type="dxa"/>
            <w:gridSpan w:val="2"/>
            <w:tcBorders>
              <w:top w:val="single" w:sz="4" w:space="0" w:color="000000"/>
              <w:left w:val="single" w:sz="4" w:space="0" w:color="000000"/>
              <w:right w:val="single" w:sz="4" w:space="0" w:color="000000"/>
            </w:tcBorders>
            <w:shd w:color="auto" w:fill="D9D9D9" w:val="clear"/>
            <w:tcMar>
              <w:top w:w="28" w:type="dxa"/>
              <w:bottom w:w="28" w:type="dxa"/>
            </w:tcMar>
            <w:vAlign w:val="center"/>
          </w:tcPr>
          <w:p>
            <w:pPr>
              <w:pStyle w:val="Normal"/>
              <w:widowControl w:val="false"/>
              <w:jc w:val="center"/>
              <w:rPr>
                <w:rFonts w:ascii="Verdana" w:hAnsi="Verdana" w:eastAsia="Verdana" w:cs="Verdana"/>
                <w:b/>
                <w:b/>
                <w:sz w:val="18"/>
                <w:szCs w:val="18"/>
              </w:rPr>
            </w:pPr>
            <w:r>
              <w:rPr>
                <w:rFonts w:eastAsia="Verdana" w:cs="Verdana" w:ascii="Verdana" w:hAnsi="Verdana"/>
                <w:b/>
                <w:sz w:val="18"/>
                <w:szCs w:val="18"/>
              </w:rPr>
              <w:t>Forma de Adjudicação</w:t>
            </w:r>
          </w:p>
        </w:tc>
        <w:tc>
          <w:tcPr>
            <w:tcW w:w="3685" w:type="dxa"/>
            <w:gridSpan w:val="2"/>
            <w:tcBorders>
              <w:top w:val="single" w:sz="4" w:space="0" w:color="000000"/>
              <w:left w:val="single" w:sz="4" w:space="0" w:color="000000"/>
              <w:right w:val="single" w:sz="4" w:space="0" w:color="000000"/>
            </w:tcBorders>
            <w:shd w:color="auto" w:fill="D9D9D9" w:val="clear"/>
            <w:tcMar>
              <w:top w:w="28" w:type="dxa"/>
              <w:bottom w:w="28" w:type="dxa"/>
            </w:tcMar>
            <w:vAlign w:val="center"/>
          </w:tcPr>
          <w:p>
            <w:pPr>
              <w:pStyle w:val="Normal"/>
              <w:widowControl w:val="false"/>
              <w:jc w:val="center"/>
              <w:rPr>
                <w:rFonts w:ascii="Verdana" w:hAnsi="Verdana" w:eastAsia="Verdana" w:cs="Verdana"/>
                <w:b/>
                <w:b/>
                <w:sz w:val="18"/>
                <w:szCs w:val="18"/>
              </w:rPr>
            </w:pPr>
            <w:r>
              <w:rPr>
                <w:rFonts w:eastAsia="Verdana" w:cs="Verdana" w:ascii="Verdana" w:hAnsi="Verdana"/>
                <w:b/>
                <w:sz w:val="18"/>
                <w:szCs w:val="18"/>
              </w:rPr>
              <w:t>Modo de Disputa</w:t>
            </w:r>
          </w:p>
        </w:tc>
      </w:tr>
      <w:tr>
        <w:trPr/>
        <w:tc>
          <w:tcPr>
            <w:tcW w:w="3119" w:type="dxa"/>
            <w:tcBorders>
              <w:left w:val="single" w:sz="4" w:space="0" w:color="000000"/>
              <w:bottom w:val="single" w:sz="4" w:space="0" w:color="000000"/>
              <w:right w:val="single" w:sz="4" w:space="0" w:color="000000"/>
            </w:tcBorders>
            <w:tcMar>
              <w:top w:w="28" w:type="dxa"/>
              <w:bottom w:w="28" w:type="dxa"/>
            </w:tcMar>
            <w:vAlign w:val="center"/>
          </w:tcPr>
          <w:p>
            <w:pPr>
              <w:pStyle w:val="Normal"/>
              <w:widowControl w:val="false"/>
              <w:jc w:val="center"/>
              <w:rPr>
                <w:rFonts w:ascii="Verdana" w:hAnsi="Verdana" w:eastAsia="Verdana" w:cs="Verdana"/>
                <w:sz w:val="18"/>
                <w:szCs w:val="18"/>
              </w:rPr>
            </w:pPr>
            <w:r>
              <w:rPr>
                <w:rFonts w:eastAsia="Verdana" w:cs="Verdana" w:ascii="Verdana" w:hAnsi="Verdana"/>
                <w:sz w:val="18"/>
                <w:szCs w:val="18"/>
              </w:rPr>
              <w:t>Menor valor total do Lote</w:t>
            </w:r>
          </w:p>
        </w:tc>
        <w:tc>
          <w:tcPr>
            <w:tcW w:w="3261" w:type="dxa"/>
            <w:gridSpan w:val="2"/>
            <w:tcBorders>
              <w:left w:val="single" w:sz="4" w:space="0" w:color="000000"/>
              <w:bottom w:val="single" w:sz="4" w:space="0" w:color="000000"/>
              <w:right w:val="single" w:sz="4" w:space="0" w:color="000000"/>
            </w:tcBorders>
            <w:tcMar>
              <w:top w:w="28" w:type="dxa"/>
              <w:bottom w:w="28" w:type="dxa"/>
            </w:tcMar>
            <w:vAlign w:val="center"/>
          </w:tcPr>
          <w:p>
            <w:pPr>
              <w:pStyle w:val="Normal"/>
              <w:widowControl w:val="false"/>
              <w:jc w:val="center"/>
              <w:rPr>
                <w:rFonts w:ascii="Verdana" w:hAnsi="Verdana" w:eastAsia="Verdana" w:cs="Verdana"/>
                <w:sz w:val="18"/>
                <w:szCs w:val="18"/>
              </w:rPr>
            </w:pPr>
            <w:r>
              <w:rPr>
                <w:rFonts w:eastAsia="Verdana" w:cs="Verdana" w:ascii="Verdana" w:hAnsi="Verdana"/>
                <w:sz w:val="18"/>
                <w:szCs w:val="18"/>
              </w:rPr>
              <w:t>LOTE</w:t>
            </w:r>
          </w:p>
        </w:tc>
        <w:tc>
          <w:tcPr>
            <w:tcW w:w="3685" w:type="dxa"/>
            <w:gridSpan w:val="2"/>
            <w:tcBorders>
              <w:left w:val="single" w:sz="4" w:space="0" w:color="000000"/>
              <w:bottom w:val="single" w:sz="4" w:space="0" w:color="000000"/>
              <w:right w:val="single" w:sz="4" w:space="0" w:color="000000"/>
            </w:tcBorders>
            <w:tcMar>
              <w:top w:w="28" w:type="dxa"/>
              <w:bottom w:w="28" w:type="dxa"/>
            </w:tcMar>
            <w:vAlign w:val="center"/>
          </w:tcPr>
          <w:p>
            <w:pPr>
              <w:pStyle w:val="Normal"/>
              <w:widowControl w:val="false"/>
              <w:jc w:val="center"/>
              <w:rPr>
                <w:rFonts w:ascii="Verdana" w:hAnsi="Verdana" w:eastAsia="Verdana" w:cs="Verdana"/>
                <w:sz w:val="18"/>
                <w:szCs w:val="18"/>
              </w:rPr>
            </w:pPr>
            <w:r>
              <w:rPr>
                <w:rFonts w:eastAsia="Verdana" w:cs="Verdana" w:ascii="Verdana" w:hAnsi="Verdana"/>
                <w:sz w:val="18"/>
                <w:szCs w:val="18"/>
              </w:rPr>
              <w:t>Aberto e Fechado</w:t>
            </w:r>
          </w:p>
        </w:tc>
      </w:tr>
      <w:tr>
        <w:trPr/>
        <w:tc>
          <w:tcPr>
            <w:tcW w:w="10065" w:type="dxa"/>
            <w:gridSpan w:val="5"/>
            <w:tcBorders>
              <w:top w:val="single" w:sz="4" w:space="0" w:color="000000"/>
              <w:left w:val="single" w:sz="4" w:space="0" w:color="000000"/>
              <w:right w:val="single" w:sz="4" w:space="0" w:color="000000"/>
            </w:tcBorders>
            <w:shd w:color="auto" w:fill="D9D9D9" w:val="clear"/>
            <w:tcMar>
              <w:top w:w="28" w:type="dxa"/>
              <w:bottom w:w="28" w:type="dxa"/>
            </w:tcMar>
          </w:tcPr>
          <w:p>
            <w:pPr>
              <w:pStyle w:val="Normal"/>
              <w:widowControl w:val="false"/>
              <w:rPr>
                <w:rFonts w:ascii="Verdana" w:hAnsi="Verdana" w:eastAsia="Verdana" w:cs="Verdana"/>
                <w:b/>
                <w:b/>
                <w:sz w:val="18"/>
                <w:szCs w:val="18"/>
              </w:rPr>
            </w:pPr>
            <w:r>
              <w:rPr>
                <w:rFonts w:eastAsia="Verdana" w:cs="Verdana" w:ascii="Verdana" w:hAnsi="Verdana"/>
                <w:b/>
                <w:sz w:val="18"/>
                <w:szCs w:val="18"/>
              </w:rPr>
              <w:t>Valor Total Estimado da Contratação</w:t>
            </w:r>
          </w:p>
        </w:tc>
      </w:tr>
      <w:tr>
        <w:trPr>
          <w:trHeight w:val="388" w:hRule="atLeast"/>
        </w:trPr>
        <w:tc>
          <w:tcPr>
            <w:tcW w:w="10065" w:type="dxa"/>
            <w:gridSpan w:val="5"/>
            <w:tcBorders>
              <w:left w:val="single" w:sz="4" w:space="0" w:color="000000"/>
              <w:bottom w:val="single" w:sz="4" w:space="0" w:color="000000"/>
              <w:right w:val="single" w:sz="4" w:space="0" w:color="000000"/>
            </w:tcBorders>
            <w:tcMar>
              <w:top w:w="28" w:type="dxa"/>
              <w:bottom w:w="28" w:type="dxa"/>
            </w:tcMar>
            <w:vAlign w:val="center"/>
          </w:tcPr>
          <w:p>
            <w:pPr>
              <w:pStyle w:val="Normal"/>
              <w:widowControl w:val="false"/>
              <w:jc w:val="both"/>
              <w:rPr>
                <w:rFonts w:ascii="Verdana" w:hAnsi="Verdana" w:eastAsia="Verdana" w:cs="Verdana"/>
                <w:b/>
                <w:b/>
                <w:sz w:val="18"/>
                <w:szCs w:val="18"/>
              </w:rPr>
            </w:pPr>
            <w:r>
              <w:rPr>
                <w:rFonts w:eastAsia="Verdana" w:cs="Verdana" w:ascii="Verdana" w:hAnsi="Verdana"/>
                <w:b/>
                <w:sz w:val="18"/>
                <w:szCs w:val="18"/>
              </w:rPr>
              <w:t>R$ 424.474,00 (quatrocentos e vinte e quatro mil quatrocentos e setenta e quatro reais).</w:t>
            </w:r>
          </w:p>
        </w:tc>
      </w:tr>
      <w:tr>
        <w:trPr/>
        <w:tc>
          <w:tcPr>
            <w:tcW w:w="10065" w:type="dxa"/>
            <w:gridSpan w:val="5"/>
            <w:tcBorders>
              <w:top w:val="single" w:sz="4" w:space="0" w:color="000000"/>
              <w:left w:val="single" w:sz="4" w:space="0" w:color="000000"/>
              <w:right w:val="single" w:sz="4" w:space="0" w:color="000000"/>
            </w:tcBorders>
            <w:shd w:color="auto" w:fill="D9D9D9" w:val="clear"/>
            <w:tcMar>
              <w:top w:w="28" w:type="dxa"/>
              <w:bottom w:w="28" w:type="dxa"/>
            </w:tcMar>
          </w:tcPr>
          <w:p>
            <w:pPr>
              <w:pStyle w:val="Normal"/>
              <w:widowControl w:val="false"/>
              <w:rPr>
                <w:rFonts w:ascii="Verdana" w:hAnsi="Verdana" w:eastAsia="Verdana" w:cs="Verdana"/>
                <w:b/>
                <w:b/>
                <w:sz w:val="18"/>
                <w:szCs w:val="18"/>
              </w:rPr>
            </w:pPr>
            <w:r>
              <w:rPr>
                <w:rFonts w:eastAsia="Verdana" w:cs="Verdana" w:ascii="Verdana" w:hAnsi="Verdana"/>
                <w:b/>
                <w:sz w:val="18"/>
                <w:szCs w:val="18"/>
              </w:rPr>
              <w:t>Habilitação (vide item 9)</w:t>
            </w:r>
          </w:p>
        </w:tc>
      </w:tr>
      <w:tr>
        <w:trPr/>
        <w:tc>
          <w:tcPr>
            <w:tcW w:w="10065" w:type="dxa"/>
            <w:gridSpan w:val="5"/>
            <w:tcBorders>
              <w:left w:val="single" w:sz="4" w:space="0" w:color="000000"/>
              <w:right w:val="single" w:sz="4" w:space="0" w:color="000000"/>
            </w:tcBorders>
            <w:tcMar>
              <w:top w:w="28" w:type="dxa"/>
              <w:bottom w:w="28" w:type="dxa"/>
            </w:tcMar>
          </w:tcPr>
          <w:p>
            <w:pPr>
              <w:pStyle w:val="Normal"/>
              <w:widowControl w:val="false"/>
              <w:rPr>
                <w:rFonts w:ascii="Verdana" w:hAnsi="Verdana" w:eastAsia="Verdana" w:cs="Verdana"/>
                <w:b/>
                <w:b/>
                <w:sz w:val="18"/>
                <w:szCs w:val="18"/>
              </w:rPr>
            </w:pPr>
            <w:r>
              <w:rPr>
                <w:rFonts w:eastAsia="Verdana" w:cs="Verdana" w:ascii="Verdana" w:hAnsi="Verdana"/>
                <w:b/>
                <w:sz w:val="18"/>
                <w:szCs w:val="18"/>
              </w:rPr>
              <w:t>REQUISITOS BÁSICOS DA HABILITAÇÃO:</w:t>
            </w:r>
          </w:p>
        </w:tc>
      </w:tr>
      <w:tr>
        <w:trPr/>
        <w:tc>
          <w:tcPr>
            <w:tcW w:w="10065" w:type="dxa"/>
            <w:gridSpan w:val="5"/>
            <w:tcBorders>
              <w:left w:val="single" w:sz="4" w:space="0" w:color="000000"/>
              <w:bottom w:val="single" w:sz="4" w:space="0" w:color="000000"/>
              <w:right w:val="single" w:sz="4" w:space="0" w:color="000000"/>
            </w:tcBorders>
            <w:tcMar>
              <w:top w:w="28" w:type="dxa"/>
              <w:bottom w:w="28" w:type="dxa"/>
            </w:tcMar>
          </w:tcPr>
          <w:p>
            <w:pPr>
              <w:pStyle w:val="Normal"/>
              <w:widowControl w:val="false"/>
              <w:jc w:val="both"/>
              <w:rPr>
                <w:rFonts w:ascii="Verdana" w:hAnsi="Verdana" w:eastAsia="Verdana" w:cs="Verdana"/>
                <w:sz w:val="18"/>
                <w:szCs w:val="18"/>
              </w:rPr>
            </w:pPr>
            <w:r>
              <w:rPr>
                <w:rFonts w:eastAsia="Verdana" w:cs="Verdana" w:ascii="Verdana" w:hAnsi="Verdana"/>
                <w:b/>
                <w:sz w:val="18"/>
                <w:szCs w:val="18"/>
              </w:rPr>
              <w:t>1) Registro Comercial</w:t>
            </w:r>
            <w:r>
              <w:rPr>
                <w:rFonts w:eastAsia="Verdana" w:cs="Verdana" w:ascii="Verdana" w:hAnsi="Verdana"/>
                <w:sz w:val="18"/>
                <w:szCs w:val="18"/>
              </w:rPr>
              <w:t>, no caso de empresa individual.</w:t>
            </w:r>
          </w:p>
          <w:p>
            <w:pPr>
              <w:pStyle w:val="Normal"/>
              <w:widowControl w:val="false"/>
              <w:jc w:val="both"/>
              <w:rPr>
                <w:rFonts w:ascii="Verdana" w:hAnsi="Verdana" w:eastAsia="Verdana" w:cs="Verdana"/>
                <w:sz w:val="18"/>
                <w:szCs w:val="18"/>
              </w:rPr>
            </w:pPr>
            <w:r>
              <w:rPr>
                <w:rFonts w:eastAsia="Verdana" w:cs="Verdana" w:ascii="Verdana" w:hAnsi="Verdana"/>
                <w:b/>
                <w:sz w:val="18"/>
                <w:szCs w:val="18"/>
              </w:rPr>
              <w:t>2) Ato Constitutivo, Estatuto ou Contrato Social</w:t>
            </w:r>
            <w:r>
              <w:rPr>
                <w:rFonts w:eastAsia="Verdana" w:cs="Verdana" w:ascii="Verdana" w:hAnsi="Verdana"/>
                <w:sz w:val="18"/>
                <w:szCs w:val="18"/>
              </w:rPr>
              <w:t xml:space="preserve"> em vigor, devidamente registrado, em se tratando de sociedade comercial, e, no caso de sociedade por ações, acompanhado de documentos de eleição de seus administradores e alterações ou da consolidação respectiva.</w:t>
            </w:r>
          </w:p>
          <w:p>
            <w:pPr>
              <w:pStyle w:val="Normal"/>
              <w:widowControl w:val="false"/>
              <w:jc w:val="both"/>
              <w:rPr>
                <w:rFonts w:ascii="Verdana" w:hAnsi="Verdana" w:eastAsia="Verdana" w:cs="Verdana"/>
                <w:b/>
                <w:b/>
                <w:sz w:val="18"/>
                <w:szCs w:val="18"/>
              </w:rPr>
            </w:pPr>
            <w:r>
              <w:rPr>
                <w:rFonts w:eastAsia="Verdana" w:cs="Verdana" w:ascii="Verdana" w:hAnsi="Verdana"/>
                <w:b/>
                <w:sz w:val="18"/>
                <w:szCs w:val="18"/>
              </w:rPr>
              <w:t>3) Prova de Inscrição no Cadastro de Pessoas Físicas (CPF) ou no Cadastro Nacional de Pessoas Jurídicas (CNPJ).</w:t>
            </w:r>
          </w:p>
          <w:p>
            <w:pPr>
              <w:pStyle w:val="Normal"/>
              <w:widowControl w:val="false"/>
              <w:jc w:val="both"/>
              <w:rPr>
                <w:rFonts w:ascii="Verdana" w:hAnsi="Verdana" w:eastAsia="Verdana" w:cs="Verdana"/>
                <w:b/>
                <w:b/>
                <w:sz w:val="18"/>
                <w:szCs w:val="18"/>
              </w:rPr>
            </w:pPr>
            <w:r>
              <w:rPr>
                <w:rFonts w:eastAsia="Verdana" w:cs="Verdana" w:ascii="Verdana" w:hAnsi="Verdana"/>
                <w:b/>
                <w:sz w:val="18"/>
                <w:szCs w:val="18"/>
              </w:rPr>
              <w:t>4) Inscrição no cadastro de contribuintes estadual e/ou municipal, se houver, relativo ao domicílio ou sede do licitante, pertinente ao seu ramo de atividade e compatível com o objeto contratual;</w:t>
            </w:r>
          </w:p>
          <w:p>
            <w:pPr>
              <w:pStyle w:val="Normal"/>
              <w:widowControl w:val="false"/>
              <w:jc w:val="both"/>
              <w:rPr>
                <w:rFonts w:ascii="Verdana" w:hAnsi="Verdana" w:eastAsia="Verdana" w:cs="Verdana"/>
                <w:b/>
                <w:b/>
                <w:sz w:val="18"/>
                <w:szCs w:val="18"/>
              </w:rPr>
            </w:pPr>
            <w:r>
              <w:rPr>
                <w:rFonts w:eastAsia="Verdana" w:cs="Verdana" w:ascii="Verdana" w:hAnsi="Verdana"/>
                <w:b/>
                <w:sz w:val="18"/>
                <w:szCs w:val="18"/>
              </w:rPr>
              <w:t>5) Certidão Conjunta Negativa de Débitos Relativos aos Tributos Federais e à Dívida Ativa da União, expedida pela Secretaria da Receita Federal, contemplando comprovação de regularidade perante a Seguridade Social.</w:t>
            </w:r>
          </w:p>
          <w:p>
            <w:pPr>
              <w:pStyle w:val="Normal"/>
              <w:widowControl w:val="false"/>
              <w:jc w:val="both"/>
              <w:rPr>
                <w:rFonts w:ascii="Verdana" w:hAnsi="Verdana" w:eastAsia="Verdana" w:cs="Verdana"/>
                <w:sz w:val="18"/>
                <w:szCs w:val="18"/>
              </w:rPr>
            </w:pPr>
            <w:r>
              <w:rPr>
                <w:rFonts w:eastAsia="Verdana" w:cs="Verdana" w:ascii="Verdana" w:hAnsi="Verdana"/>
                <w:b/>
                <w:sz w:val="18"/>
                <w:szCs w:val="18"/>
              </w:rPr>
              <w:t>6) Prova de Regularidade para com a Fazenda do Estado</w:t>
            </w:r>
            <w:r>
              <w:rPr>
                <w:rFonts w:eastAsia="Verdana" w:cs="Verdana" w:ascii="Verdana" w:hAnsi="Verdana"/>
                <w:sz w:val="18"/>
                <w:szCs w:val="18"/>
              </w:rPr>
              <w:t xml:space="preserve"> em que for sediada a licitante;</w:t>
            </w:r>
          </w:p>
          <w:p>
            <w:pPr>
              <w:pStyle w:val="Normal"/>
              <w:widowControl w:val="false"/>
              <w:jc w:val="both"/>
              <w:rPr>
                <w:rFonts w:ascii="Verdana" w:hAnsi="Verdana" w:eastAsia="Verdana" w:cs="Verdana"/>
                <w:sz w:val="18"/>
                <w:szCs w:val="18"/>
              </w:rPr>
            </w:pPr>
            <w:r>
              <w:rPr>
                <w:rFonts w:eastAsia="Verdana" w:cs="Verdana" w:ascii="Verdana" w:hAnsi="Verdana"/>
                <w:b/>
                <w:sz w:val="18"/>
                <w:szCs w:val="18"/>
              </w:rPr>
              <w:t>7) Prova de Regularidade para com a Fazenda do Município</w:t>
            </w:r>
            <w:r>
              <w:rPr>
                <w:rFonts w:eastAsia="Verdana" w:cs="Verdana" w:ascii="Verdana" w:hAnsi="Verdana"/>
                <w:sz w:val="18"/>
                <w:szCs w:val="18"/>
              </w:rPr>
              <w:t xml:space="preserve"> em que for sediada a licitante;</w:t>
            </w:r>
          </w:p>
          <w:p>
            <w:pPr>
              <w:pStyle w:val="Normal"/>
              <w:widowControl w:val="false"/>
              <w:jc w:val="both"/>
              <w:rPr>
                <w:rFonts w:ascii="Verdana" w:hAnsi="Verdana" w:eastAsia="Verdana" w:cs="Verdana"/>
                <w:sz w:val="18"/>
                <w:szCs w:val="18"/>
              </w:rPr>
            </w:pPr>
            <w:r>
              <w:rPr>
                <w:rFonts w:eastAsia="Verdana" w:cs="Verdana" w:ascii="Verdana" w:hAnsi="Verdana"/>
                <w:b/>
                <w:sz w:val="18"/>
                <w:szCs w:val="18"/>
              </w:rPr>
              <w:t xml:space="preserve">8) Prova de regularidade perante o Fundo de Garantia por Tempo de Serviço (FGTS), </w:t>
            </w:r>
            <w:r>
              <w:rPr>
                <w:rFonts w:eastAsia="Verdana" w:cs="Verdana" w:ascii="Verdana" w:hAnsi="Verdana"/>
                <w:sz w:val="18"/>
                <w:szCs w:val="18"/>
              </w:rPr>
              <w:t>com validade na data de realização da licitação.</w:t>
            </w:r>
          </w:p>
          <w:p>
            <w:pPr>
              <w:pStyle w:val="Normal"/>
              <w:widowControl w:val="false"/>
              <w:jc w:val="both"/>
              <w:rPr>
                <w:rFonts w:ascii="Verdana" w:hAnsi="Verdana" w:eastAsia="Verdana" w:cs="Verdana"/>
                <w:b/>
                <w:b/>
                <w:sz w:val="18"/>
                <w:szCs w:val="18"/>
              </w:rPr>
            </w:pPr>
            <w:r>
              <w:rPr>
                <w:rFonts w:eastAsia="Verdana" w:cs="Verdana" w:ascii="Verdana" w:hAnsi="Verdana"/>
                <w:b/>
                <w:sz w:val="18"/>
                <w:szCs w:val="18"/>
              </w:rPr>
              <w:t>9) Prova de inexistência de débitos inadimplidos perante a Justiça do Trabalho</w:t>
            </w:r>
            <w:r>
              <w:rPr>
                <w:rFonts w:eastAsia="Verdana" w:cs="Verdana" w:ascii="Verdana" w:hAnsi="Verdana"/>
                <w:sz w:val="18"/>
                <w:szCs w:val="18"/>
              </w:rPr>
              <w:t xml:space="preserve">, mediante a apresentação de certidão negativa – </w:t>
            </w:r>
            <w:r>
              <w:rPr>
                <w:rFonts w:eastAsia="Verdana" w:cs="Verdana" w:ascii="Verdana" w:hAnsi="Verdana"/>
                <w:b/>
                <w:sz w:val="18"/>
                <w:szCs w:val="18"/>
              </w:rPr>
              <w:t>CNDT</w:t>
            </w:r>
            <w:r>
              <w:rPr>
                <w:rFonts w:eastAsia="Verdana" w:cs="Verdana" w:ascii="Verdana" w:hAnsi="Verdana"/>
                <w:sz w:val="18"/>
                <w:szCs w:val="18"/>
              </w:rPr>
              <w:t>.</w:t>
            </w:r>
          </w:p>
          <w:p>
            <w:pPr>
              <w:pStyle w:val="Normal"/>
              <w:widowControl w:val="false"/>
              <w:jc w:val="both"/>
              <w:rPr>
                <w:rFonts w:ascii="Verdana" w:hAnsi="Verdana" w:eastAsia="Verdana" w:cs="Verdana"/>
                <w:sz w:val="18"/>
                <w:szCs w:val="18"/>
              </w:rPr>
            </w:pPr>
            <w:r>
              <w:rPr>
                <w:rFonts w:eastAsia="Verdana" w:cs="Verdana" w:ascii="Verdana" w:hAnsi="Verdana"/>
                <w:b/>
                <w:sz w:val="18"/>
                <w:szCs w:val="18"/>
              </w:rPr>
              <w:t>10) Certidão negativa de falência expedida pelo distribuidor da sede do licitante</w:t>
            </w:r>
            <w:r>
              <w:rPr>
                <w:rFonts w:eastAsia="Verdana" w:cs="Verdana" w:ascii="Verdana" w:hAnsi="Verdana"/>
                <w:sz w:val="18"/>
                <w:szCs w:val="18"/>
              </w:rPr>
              <w:t xml:space="preserve"> com data de emissão de, no máximo, 60 (sessenta) dias antes da data fixada para a abertura da licitação, se outro não estiver nela fixado.</w:t>
            </w:r>
          </w:p>
          <w:p>
            <w:pPr>
              <w:pStyle w:val="Normal"/>
              <w:widowControl w:val="false"/>
              <w:jc w:val="both"/>
              <w:rPr>
                <w:rFonts w:ascii="Verdana" w:hAnsi="Verdana" w:eastAsia="Verdana" w:cs="Verdana"/>
                <w:strike/>
                <w:sz w:val="18"/>
                <w:szCs w:val="18"/>
              </w:rPr>
            </w:pPr>
            <w:r>
              <w:rPr>
                <w:rFonts w:eastAsia="Verdana" w:cs="Verdana" w:ascii="Verdana" w:hAnsi="Verdana"/>
                <w:b/>
                <w:sz w:val="18"/>
                <w:szCs w:val="18"/>
              </w:rPr>
              <w:t>11) Balanço Patrimonial,</w:t>
            </w:r>
            <w:r>
              <w:rPr>
                <w:rFonts w:eastAsia="Verdana" w:cs="Verdana" w:ascii="Verdana" w:hAnsi="Verdana"/>
                <w:sz w:val="18"/>
                <w:szCs w:val="18"/>
              </w:rPr>
              <w:t xml:space="preserve"> inclusive com os demonstrativos contábeis, correspondentes ao último exercício social da empresa, já exigíveis </w:t>
            </w:r>
            <w:r>
              <w:rPr>
                <w:rFonts w:eastAsia="Verdana" w:cs="Verdana" w:ascii="Verdana" w:hAnsi="Verdana"/>
                <w:b/>
                <w:sz w:val="18"/>
                <w:szCs w:val="18"/>
              </w:rPr>
              <w:t>e apresentados na forma da lei</w:t>
            </w:r>
            <w:r>
              <w:rPr>
                <w:rFonts w:eastAsia="Verdana" w:cs="Verdana" w:ascii="Verdana" w:hAnsi="Verdana"/>
                <w:sz w:val="18"/>
                <w:szCs w:val="18"/>
              </w:rPr>
              <w:t>.</w:t>
            </w:r>
            <w:r>
              <w:rPr>
                <w:rFonts w:eastAsia="Verdana" w:cs="Verdana" w:ascii="Verdana" w:hAnsi="Verdana"/>
                <w:strike/>
                <w:sz w:val="18"/>
                <w:szCs w:val="18"/>
              </w:rPr>
              <w:t xml:space="preserve"> </w:t>
            </w:r>
          </w:p>
          <w:p>
            <w:pPr>
              <w:pStyle w:val="Normal"/>
              <w:widowControl w:val="false"/>
              <w:tabs>
                <w:tab w:val="clear" w:pos="720"/>
                <w:tab w:val="left" w:pos="-31680" w:leader="none"/>
                <w:tab w:val="left" w:pos="-31612" w:leader="none"/>
                <w:tab w:val="left" w:pos="-30904" w:leader="none"/>
                <w:tab w:val="left" w:pos="-30196" w:leader="none"/>
                <w:tab w:val="left" w:pos="-29488" w:leader="none"/>
                <w:tab w:val="left" w:pos="405" w:leader="none"/>
                <w:tab w:val="left" w:pos="2268" w:leader="none"/>
                <w:tab w:val="left" w:pos="24720" w:leader="none"/>
                <w:tab w:val="left" w:pos="25428" w:leader="none"/>
                <w:tab w:val="left" w:pos="26136" w:leader="none"/>
                <w:tab w:val="left" w:pos="26280" w:leader="none"/>
                <w:tab w:val="left" w:pos="26844" w:leader="none"/>
                <w:tab w:val="left" w:pos="27552" w:leader="none"/>
                <w:tab w:val="left" w:pos="28260" w:leader="none"/>
                <w:tab w:val="left" w:pos="28968" w:leader="none"/>
                <w:tab w:val="left" w:pos="29676" w:leader="none"/>
                <w:tab w:val="left" w:pos="30384" w:leader="none"/>
                <w:tab w:val="left" w:pos="31092" w:leader="none"/>
                <w:tab w:val="left" w:pos="31680" w:leader="none"/>
              </w:tabs>
              <w:ind w:left="284" w:hanging="0"/>
              <w:jc w:val="both"/>
              <w:rPr>
                <w:rFonts w:ascii="Verdana" w:hAnsi="Verdana" w:eastAsia="Verdana" w:cs="Verdana"/>
                <w:sz w:val="18"/>
                <w:szCs w:val="18"/>
              </w:rPr>
            </w:pPr>
            <w:r>
              <w:rPr>
                <w:rFonts w:eastAsia="Verdana" w:cs="Verdana" w:ascii="Verdana" w:hAnsi="Verdana"/>
                <w:b/>
                <w:sz w:val="18"/>
                <w:szCs w:val="18"/>
              </w:rPr>
              <w:t>11.1)</w:t>
            </w:r>
            <w:r>
              <w:rPr>
                <w:rFonts w:eastAsia="Verdana" w:cs="Verdana" w:ascii="Verdana" w:hAnsi="Verdana"/>
                <w:sz w:val="18"/>
                <w:szCs w:val="18"/>
              </w:rPr>
              <w:t xml:space="preserve"> O Balanço Patrimonial do ano imediatamente anterior à licitação, será exigido a partir do dia 01 de junho do corrente ano.</w:t>
            </w:r>
          </w:p>
          <w:p>
            <w:pPr>
              <w:pStyle w:val="Normal"/>
              <w:widowControl w:val="false"/>
              <w:tabs>
                <w:tab w:val="clear" w:pos="720"/>
                <w:tab w:val="left" w:pos="-31680" w:leader="none"/>
                <w:tab w:val="left" w:pos="-31612" w:leader="none"/>
                <w:tab w:val="left" w:pos="-30904" w:leader="none"/>
                <w:tab w:val="left" w:pos="-30196" w:leader="none"/>
                <w:tab w:val="left" w:pos="-29488" w:leader="none"/>
                <w:tab w:val="left" w:pos="405" w:leader="none"/>
                <w:tab w:val="left" w:pos="2268" w:leader="none"/>
                <w:tab w:val="left" w:pos="24720" w:leader="none"/>
                <w:tab w:val="left" w:pos="25428" w:leader="none"/>
                <w:tab w:val="left" w:pos="26136" w:leader="none"/>
                <w:tab w:val="left" w:pos="26280" w:leader="none"/>
                <w:tab w:val="left" w:pos="26844" w:leader="none"/>
                <w:tab w:val="left" w:pos="27552" w:leader="none"/>
                <w:tab w:val="left" w:pos="28260" w:leader="none"/>
                <w:tab w:val="left" w:pos="28968" w:leader="none"/>
                <w:tab w:val="left" w:pos="29676" w:leader="none"/>
                <w:tab w:val="left" w:pos="30384" w:leader="none"/>
                <w:tab w:val="left" w:pos="31092" w:leader="none"/>
                <w:tab w:val="left" w:pos="31680" w:leader="none"/>
              </w:tabs>
              <w:ind w:left="284" w:hanging="0"/>
              <w:jc w:val="both"/>
              <w:rPr>
                <w:rFonts w:ascii="Verdana" w:hAnsi="Verdana" w:eastAsia="Verdana" w:cs="Verdana"/>
                <w:sz w:val="18"/>
                <w:szCs w:val="18"/>
              </w:rPr>
            </w:pPr>
            <w:r>
              <w:rPr>
                <w:rFonts w:eastAsia="Verdana" w:cs="Verdana" w:ascii="Verdana" w:hAnsi="Verdana"/>
                <w:b/>
                <w:sz w:val="18"/>
                <w:szCs w:val="18"/>
              </w:rPr>
              <w:t>11.2)</w:t>
            </w:r>
            <w:r>
              <w:rPr>
                <w:rFonts w:eastAsia="Verdana" w:cs="Verdana" w:ascii="Verdana" w:hAnsi="Verdana"/>
                <w:sz w:val="18"/>
                <w:szCs w:val="18"/>
              </w:rPr>
              <w:t xml:space="preserve"> O balanço das sociedades por ações deverá ser apresentado em publicações no Diário Oficial.  </w:t>
            </w:r>
          </w:p>
          <w:p>
            <w:pPr>
              <w:pStyle w:val="Normal"/>
              <w:widowControl w:val="false"/>
              <w:tabs>
                <w:tab w:val="clear" w:pos="720"/>
                <w:tab w:val="left" w:pos="-31680" w:leader="none"/>
                <w:tab w:val="left" w:pos="-31318" w:leader="none"/>
                <w:tab w:val="left" w:pos="-30184" w:leader="none"/>
                <w:tab w:val="left" w:pos="405" w:leader="none"/>
                <w:tab w:val="left" w:pos="25146" w:leader="none"/>
                <w:tab w:val="left" w:pos="27414" w:leader="none"/>
                <w:tab w:val="left" w:pos="28548" w:leader="none"/>
                <w:tab w:val="left" w:pos="29682" w:leader="none"/>
                <w:tab w:val="left" w:pos="30816" w:leader="none"/>
                <w:tab w:val="left" w:pos="31680" w:leader="none"/>
              </w:tabs>
              <w:ind w:left="284" w:hanging="0"/>
              <w:jc w:val="both"/>
              <w:rPr>
                <w:rFonts w:ascii="Verdana" w:hAnsi="Verdana" w:eastAsia="Verdana" w:cs="Verdana"/>
                <w:sz w:val="18"/>
                <w:szCs w:val="18"/>
              </w:rPr>
            </w:pPr>
            <w:r>
              <w:rPr>
                <w:rFonts w:eastAsia="Verdana" w:cs="Verdana" w:ascii="Verdana" w:hAnsi="Verdana"/>
                <w:b/>
                <w:sz w:val="18"/>
                <w:szCs w:val="18"/>
              </w:rPr>
              <w:t>11.3)</w:t>
            </w:r>
            <w:r>
              <w:rPr>
                <w:rFonts w:eastAsia="Verdana" w:cs="Verdana" w:ascii="Verdana" w:hAnsi="Verdana"/>
                <w:sz w:val="18"/>
                <w:szCs w:val="18"/>
              </w:rPr>
              <w:t xml:space="preserve"> As demais empresas deverão apresentar o Balanço autenticado, registrado na Junta Comercial. </w:t>
            </w:r>
          </w:p>
          <w:p>
            <w:pPr>
              <w:pStyle w:val="Normal"/>
              <w:widowControl w:val="false"/>
              <w:tabs>
                <w:tab w:val="clear" w:pos="720"/>
                <w:tab w:val="left" w:pos="-31680" w:leader="none"/>
                <w:tab w:val="left" w:pos="-31318" w:leader="none"/>
                <w:tab w:val="left" w:pos="-30184" w:leader="none"/>
                <w:tab w:val="left" w:pos="25146" w:leader="none"/>
                <w:tab w:val="left" w:pos="27414" w:leader="none"/>
                <w:tab w:val="left" w:pos="28548" w:leader="none"/>
                <w:tab w:val="left" w:pos="29682" w:leader="none"/>
                <w:tab w:val="left" w:pos="30816" w:leader="none"/>
                <w:tab w:val="left" w:pos="31680" w:leader="none"/>
              </w:tabs>
              <w:ind w:left="567" w:hanging="0"/>
              <w:jc w:val="both"/>
              <w:rPr>
                <w:rFonts w:ascii="Verdana" w:hAnsi="Verdana" w:eastAsia="Verdana" w:cs="Verdana"/>
                <w:sz w:val="18"/>
                <w:szCs w:val="18"/>
              </w:rPr>
            </w:pPr>
            <w:r>
              <w:rPr>
                <w:rFonts w:eastAsia="Verdana" w:cs="Verdana" w:ascii="Verdana" w:hAnsi="Verdana"/>
                <w:b/>
                <w:sz w:val="18"/>
                <w:szCs w:val="18"/>
              </w:rPr>
              <w:t>11.3.1) A apresentação do balanço registrado na Junta Comercial poderá ser substituído por recibo de Entrega de Escrituração Contábil Digital, pelo Sistema Público de Escrituração Digital - Sped.</w:t>
            </w:r>
          </w:p>
          <w:p>
            <w:pPr>
              <w:pStyle w:val="Normal"/>
              <w:widowControl w:val="false"/>
              <w:ind w:left="284" w:hanging="0"/>
              <w:jc w:val="both"/>
              <w:rPr>
                <w:rFonts w:ascii="Verdana" w:hAnsi="Verdana" w:eastAsia="Verdana" w:cs="Verdana"/>
                <w:sz w:val="18"/>
                <w:szCs w:val="18"/>
              </w:rPr>
            </w:pPr>
            <w:r>
              <w:rPr>
                <w:rFonts w:eastAsia="Verdana" w:cs="Verdana" w:ascii="Verdana" w:hAnsi="Verdana"/>
                <w:b/>
                <w:sz w:val="18"/>
                <w:szCs w:val="18"/>
              </w:rPr>
              <w:t>11.4)</w:t>
            </w:r>
            <w:r>
              <w:rPr>
                <w:rFonts w:eastAsia="Verdana" w:cs="Verdana" w:ascii="Verdana" w:hAnsi="Verdana"/>
                <w:sz w:val="18"/>
                <w:szCs w:val="18"/>
              </w:rPr>
              <w:t xml:space="preserve"> As empresas criadas no exercício financeiro da licitação deverão atender a todas as exigências da habilitação e ficarão autorizadas a substituir os demonstrativos contábeis pelo balanço de abertura.</w:t>
            </w:r>
          </w:p>
          <w:p>
            <w:pPr>
              <w:pStyle w:val="Normal"/>
              <w:widowControl w:val="false"/>
              <w:ind w:left="284" w:hanging="0"/>
              <w:jc w:val="both"/>
              <w:rPr>
                <w:rFonts w:ascii="Verdana" w:hAnsi="Verdana" w:eastAsia="Verdana" w:cs="Verdana"/>
                <w:sz w:val="18"/>
                <w:szCs w:val="18"/>
              </w:rPr>
            </w:pPr>
            <w:r>
              <w:rPr>
                <w:rFonts w:eastAsia="Verdana" w:cs="Verdana" w:ascii="Verdana" w:hAnsi="Verdana"/>
                <w:b/>
                <w:sz w:val="18"/>
                <w:szCs w:val="18"/>
              </w:rPr>
              <w:t>11.5)</w:t>
            </w:r>
            <w:r>
              <w:rPr>
                <w:rFonts w:eastAsia="Verdana" w:cs="Verdana" w:ascii="Verdana" w:hAnsi="Verdana"/>
                <w:sz w:val="18"/>
                <w:szCs w:val="18"/>
              </w:rPr>
              <w:t xml:space="preserve"> Somente serão habilitados os licitantes que apresentarem no Balanço Patrimonial os índices de Liquidez Geral, de Solvência Geral e de Liquidez Corrente iguais ou maiores que 01 (um).</w:t>
            </w:r>
          </w:p>
          <w:p>
            <w:pPr>
              <w:pStyle w:val="Normal"/>
              <w:widowControl w:val="false"/>
              <w:tabs>
                <w:tab w:val="clear" w:pos="720"/>
                <w:tab w:val="left" w:pos="-31680" w:leader="none"/>
                <w:tab w:val="left" w:pos="-31318" w:leader="none"/>
                <w:tab w:val="left" w:pos="-30184" w:leader="none"/>
                <w:tab w:val="left" w:pos="25146" w:leader="none"/>
                <w:tab w:val="left" w:pos="27414" w:leader="none"/>
                <w:tab w:val="left" w:pos="28548" w:leader="none"/>
                <w:tab w:val="left" w:pos="29682" w:leader="none"/>
                <w:tab w:val="left" w:pos="30816" w:leader="none"/>
                <w:tab w:val="left" w:pos="31680" w:leader="none"/>
              </w:tabs>
              <w:ind w:left="284" w:hanging="0"/>
              <w:jc w:val="both"/>
              <w:rPr>
                <w:rFonts w:ascii="Verdana" w:hAnsi="Verdana" w:eastAsia="Verdana" w:cs="Verdana"/>
                <w:sz w:val="18"/>
                <w:szCs w:val="18"/>
              </w:rPr>
            </w:pPr>
            <w:r>
              <w:rPr>
                <w:rFonts w:eastAsia="Verdana" w:cs="Verdana" w:ascii="Verdana" w:hAnsi="Verdana"/>
                <w:b/>
                <w:sz w:val="18"/>
                <w:szCs w:val="18"/>
              </w:rPr>
              <w:t xml:space="preserve">11.6) </w:t>
            </w:r>
            <w:r>
              <w:rPr>
                <w:rFonts w:eastAsia="Verdana" w:cs="Verdana" w:ascii="Verdana" w:hAnsi="Verdana"/>
                <w:sz w:val="18"/>
                <w:szCs w:val="18"/>
              </w:rPr>
              <w:t>O licitante que apresentar qualquer dos índices menor do que 01 (um) deverá comprovar patrimônio líquido mínimo equivalente a 5% do valor estimado para a contratação.</w:t>
            </w:r>
          </w:p>
          <w:p>
            <w:pPr>
              <w:pStyle w:val="Normal"/>
              <w:widowControl w:val="false"/>
              <w:tabs>
                <w:tab w:val="clear" w:pos="720"/>
                <w:tab w:val="left" w:pos="-31680" w:leader="none"/>
                <w:tab w:val="left" w:pos="-31318" w:leader="none"/>
                <w:tab w:val="left" w:pos="-30184" w:leader="none"/>
                <w:tab w:val="left" w:pos="25146" w:leader="none"/>
                <w:tab w:val="left" w:pos="27414" w:leader="none"/>
                <w:tab w:val="left" w:pos="28548" w:leader="none"/>
                <w:tab w:val="left" w:pos="29682" w:leader="none"/>
                <w:tab w:val="left" w:pos="30816" w:leader="none"/>
                <w:tab w:val="left" w:pos="31680" w:leader="none"/>
              </w:tabs>
              <w:jc w:val="both"/>
              <w:rPr>
                <w:rFonts w:ascii="Verdana" w:hAnsi="Verdana" w:eastAsia="Verdana" w:cs="Verdana"/>
                <w:b/>
                <w:b/>
                <w:sz w:val="18"/>
                <w:szCs w:val="18"/>
              </w:rPr>
            </w:pPr>
            <w:r>
              <w:rPr>
                <w:rFonts w:eastAsia="Verdana" w:cs="Verdana" w:ascii="Verdana" w:hAnsi="Verdana"/>
                <w:b/>
                <w:sz w:val="18"/>
                <w:szCs w:val="18"/>
              </w:rPr>
            </w:r>
          </w:p>
          <w:p>
            <w:pPr>
              <w:pStyle w:val="Normal"/>
              <w:widowControl w:val="false"/>
              <w:tabs>
                <w:tab w:val="clear" w:pos="720"/>
                <w:tab w:val="left" w:pos="-31680" w:leader="none"/>
                <w:tab w:val="left" w:pos="-31318" w:leader="none"/>
                <w:tab w:val="left" w:pos="-30184" w:leader="none"/>
                <w:tab w:val="left" w:pos="25146" w:leader="none"/>
                <w:tab w:val="left" w:pos="27414" w:leader="none"/>
                <w:tab w:val="left" w:pos="28548" w:leader="none"/>
                <w:tab w:val="left" w:pos="29682" w:leader="none"/>
                <w:tab w:val="left" w:pos="30816" w:leader="none"/>
                <w:tab w:val="left" w:pos="31680" w:leader="none"/>
              </w:tabs>
              <w:jc w:val="both"/>
              <w:rPr>
                <w:rFonts w:ascii="Verdana" w:hAnsi="Verdana" w:eastAsia="Verdana" w:cs="Verdana"/>
                <w:sz w:val="18"/>
                <w:szCs w:val="18"/>
              </w:rPr>
            </w:pPr>
            <w:r>
              <w:rPr>
                <w:rFonts w:eastAsia="Verdana" w:cs="Verdana" w:ascii="Verdana" w:hAnsi="Verdana"/>
                <w:b/>
                <w:sz w:val="18"/>
                <w:szCs w:val="18"/>
              </w:rPr>
              <w:t xml:space="preserve">Obs1: </w:t>
            </w:r>
            <w:r>
              <w:rPr>
                <w:rFonts w:eastAsia="Verdana" w:cs="Verdana" w:ascii="Verdana" w:hAnsi="Verdana"/>
                <w:sz w:val="18"/>
                <w:szCs w:val="18"/>
              </w:rPr>
              <w:t>Será verificada a Prova de Regularidade com a Secretaria da Fazenda do Estado do Espírito Santo para empresas sediadas fora do Estado;</w:t>
            </w:r>
          </w:p>
          <w:p>
            <w:pPr>
              <w:pStyle w:val="Normal"/>
              <w:widowControl w:val="false"/>
              <w:tabs>
                <w:tab w:val="clear" w:pos="720"/>
                <w:tab w:val="left" w:pos="-31680" w:leader="none"/>
                <w:tab w:val="left" w:pos="-31318" w:leader="none"/>
                <w:tab w:val="left" w:pos="-30184" w:leader="none"/>
                <w:tab w:val="left" w:pos="25146" w:leader="none"/>
                <w:tab w:val="left" w:pos="27414" w:leader="none"/>
                <w:tab w:val="left" w:pos="28548" w:leader="none"/>
                <w:tab w:val="left" w:pos="29682" w:leader="none"/>
                <w:tab w:val="left" w:pos="30816" w:leader="none"/>
                <w:tab w:val="left" w:pos="31680" w:leader="none"/>
              </w:tabs>
              <w:jc w:val="both"/>
              <w:rPr>
                <w:rFonts w:ascii="Verdana" w:hAnsi="Verdana" w:eastAsia="Verdana" w:cs="Verdana"/>
                <w:sz w:val="18"/>
                <w:szCs w:val="18"/>
              </w:rPr>
            </w:pPr>
            <w:r>
              <w:rPr>
                <w:rFonts w:eastAsia="Verdana" w:cs="Verdana" w:ascii="Verdana" w:hAnsi="Verdana"/>
                <w:sz w:val="18"/>
                <w:szCs w:val="18"/>
              </w:rPr>
            </w:r>
          </w:p>
          <w:p>
            <w:pPr>
              <w:pStyle w:val="Normal"/>
              <w:widowControl w:val="false"/>
              <w:pBdr/>
              <w:spacing w:before="0" w:after="200"/>
              <w:jc w:val="both"/>
              <w:rPr>
                <w:rFonts w:ascii="Verdana" w:hAnsi="Verdana" w:eastAsia="Verdana" w:cs="Verdana"/>
                <w:strike/>
                <w:sz w:val="18"/>
                <w:szCs w:val="18"/>
              </w:rPr>
            </w:pPr>
            <w:r>
              <w:rPr>
                <w:rFonts w:eastAsia="Verdana" w:cs="Verdana" w:ascii="Verdana" w:hAnsi="Verdana"/>
                <w:b/>
                <w:sz w:val="18"/>
                <w:szCs w:val="18"/>
              </w:rPr>
              <w:t xml:space="preserve">Obs2: </w:t>
            </w:r>
            <w:r>
              <w:rPr>
                <w:rFonts w:eastAsia="Verdana" w:cs="Verdana" w:ascii="Verdana" w:hAnsi="Verdana"/>
                <w:sz w:val="18"/>
                <w:szCs w:val="18"/>
              </w:rPr>
              <w:t>Recomendamos que</w:t>
            </w:r>
            <w:r>
              <w:rPr>
                <w:rFonts w:eastAsia="Verdana" w:cs="Verdana" w:ascii="Verdana" w:hAnsi="Verdana"/>
                <w:b/>
                <w:sz w:val="18"/>
                <w:szCs w:val="18"/>
              </w:rPr>
              <w:t xml:space="preserve"> </w:t>
            </w:r>
            <w:r>
              <w:rPr>
                <w:rFonts w:eastAsia="Verdana" w:cs="Verdana" w:ascii="Verdana" w:hAnsi="Verdana"/>
                <w:sz w:val="18"/>
                <w:szCs w:val="18"/>
              </w:rPr>
              <w:t>todos os documentos básicos acima estejam atualizados no SICAF na data da abertura da sessão pública.</w:t>
            </w:r>
          </w:p>
        </w:tc>
      </w:tr>
      <w:tr>
        <w:trPr>
          <w:trHeight w:val="360" w:hRule="atLeast"/>
        </w:trPr>
        <w:tc>
          <w:tcPr>
            <w:tcW w:w="10065" w:type="dxa"/>
            <w:gridSpan w:val="5"/>
            <w:tcBorders>
              <w:top w:val="single" w:sz="4" w:space="0" w:color="000000"/>
              <w:left w:val="single" w:sz="4" w:space="0" w:color="000000"/>
              <w:right w:val="single" w:sz="4" w:space="0" w:color="000000"/>
            </w:tcBorders>
            <w:tcMar>
              <w:top w:w="28" w:type="dxa"/>
              <w:bottom w:w="28" w:type="dxa"/>
            </w:tcMar>
          </w:tcPr>
          <w:p>
            <w:pPr>
              <w:pStyle w:val="Normal"/>
              <w:widowControl w:val="false"/>
              <w:rPr>
                <w:rFonts w:ascii="Verdana" w:hAnsi="Verdana" w:eastAsia="Verdana" w:cs="Verdana"/>
                <w:b/>
                <w:b/>
                <w:sz w:val="18"/>
                <w:szCs w:val="18"/>
              </w:rPr>
            </w:pPr>
            <w:r>
              <w:rPr>
                <w:rFonts w:eastAsia="Verdana" w:cs="Verdana" w:ascii="Verdana" w:hAnsi="Verdana"/>
                <w:b/>
                <w:sz w:val="18"/>
                <w:szCs w:val="18"/>
              </w:rPr>
              <w:t>REQUISITOS ESPECÍFICOS DE HABILITAÇÃO:</w:t>
            </w:r>
          </w:p>
        </w:tc>
      </w:tr>
      <w:tr>
        <w:trPr>
          <w:trHeight w:val="1157" w:hRule="atLeast"/>
        </w:trPr>
        <w:tc>
          <w:tcPr>
            <w:tcW w:w="10065" w:type="dxa"/>
            <w:gridSpan w:val="5"/>
            <w:tcBorders>
              <w:left w:val="single" w:sz="4" w:space="0" w:color="000000"/>
              <w:bottom w:val="single" w:sz="4" w:space="0" w:color="000000"/>
              <w:right w:val="single" w:sz="4" w:space="0" w:color="000000"/>
            </w:tcBorders>
            <w:tcMar>
              <w:top w:w="28" w:type="dxa"/>
              <w:bottom w:w="28" w:type="dxa"/>
            </w:tcMar>
          </w:tcPr>
          <w:p>
            <w:pPr>
              <w:pStyle w:val="Normal"/>
              <w:widowControl w:val="false"/>
              <w:tabs>
                <w:tab w:val="clear" w:pos="720"/>
                <w:tab w:val="right" w:pos="8838" w:leader="none"/>
              </w:tabs>
              <w:spacing w:before="0" w:after="120"/>
              <w:ind w:left="120" w:right="120" w:hanging="0"/>
              <w:jc w:val="both"/>
              <w:rPr>
                <w:rFonts w:ascii="Verdana" w:hAnsi="Verdana" w:eastAsia="Verdana" w:cs="Verdana"/>
                <w:sz w:val="18"/>
                <w:szCs w:val="18"/>
              </w:rPr>
            </w:pPr>
            <w:r>
              <w:rPr>
                <w:rFonts w:eastAsia="Verdana" w:cs="Verdana" w:ascii="Verdana" w:hAnsi="Verdana"/>
                <w:b/>
                <w:sz w:val="18"/>
                <w:szCs w:val="18"/>
              </w:rPr>
              <w:t>1)</w:t>
            </w:r>
            <w:r>
              <w:rPr>
                <w:rFonts w:eastAsia="Verdana" w:cs="Verdana" w:ascii="Verdana" w:hAnsi="Verdana"/>
                <w:sz w:val="18"/>
                <w:szCs w:val="18"/>
              </w:rPr>
              <w:t xml:space="preserve"> As licitantes deverão comprovar, através da apresentação de Atestado de Capacidade Técnica, o fornecimento e instalação de </w:t>
            </w:r>
            <w:r>
              <w:rPr>
                <w:rFonts w:eastAsia="Verdana" w:cs="Verdana" w:ascii="Verdana" w:hAnsi="Verdana"/>
                <w:b/>
                <w:bCs/>
                <w:sz w:val="18"/>
                <w:szCs w:val="18"/>
              </w:rPr>
              <w:t>persianas de no mínimo 200m²</w:t>
            </w:r>
            <w:r>
              <w:rPr>
                <w:rFonts w:eastAsia="Verdana" w:cs="Verdana" w:ascii="Verdana" w:hAnsi="Verdana"/>
                <w:sz w:val="18"/>
                <w:szCs w:val="18"/>
              </w:rPr>
              <w:t xml:space="preserve"> (duzentos metros quadrados) e de </w:t>
            </w:r>
            <w:r>
              <w:rPr>
                <w:rFonts w:eastAsia="Verdana" w:cs="Verdana" w:ascii="Verdana" w:hAnsi="Verdana"/>
                <w:b/>
                <w:bCs/>
                <w:sz w:val="18"/>
                <w:szCs w:val="18"/>
              </w:rPr>
              <w:t>películas de no mínimo 100m²</w:t>
            </w:r>
            <w:r>
              <w:rPr>
                <w:rFonts w:eastAsia="Verdana" w:cs="Verdana" w:ascii="Verdana" w:hAnsi="Verdana"/>
                <w:sz w:val="18"/>
                <w:szCs w:val="18"/>
              </w:rPr>
              <w:t xml:space="preserve"> (cem metros quadrados), em um período de 12 (doze) meses. </w:t>
            </w:r>
          </w:p>
          <w:p>
            <w:pPr>
              <w:pStyle w:val="Normal"/>
              <w:widowControl w:val="false"/>
              <w:pBdr/>
              <w:ind w:left="280" w:right="119" w:hanging="0"/>
              <w:jc w:val="both"/>
              <w:rPr>
                <w:rFonts w:ascii="Verdana" w:hAnsi="Verdana" w:eastAsia="Verdana" w:cs="Verdana"/>
                <w:sz w:val="18"/>
                <w:szCs w:val="18"/>
              </w:rPr>
            </w:pPr>
            <w:r>
              <w:rPr>
                <w:rFonts w:eastAsia="Verdana" w:cs="Verdana" w:ascii="Verdana" w:hAnsi="Verdana"/>
                <w:b/>
                <w:sz w:val="18"/>
                <w:szCs w:val="18"/>
              </w:rPr>
              <w:t>1.1)</w:t>
            </w:r>
            <w:r>
              <w:rPr>
                <w:rFonts w:eastAsia="Verdana" w:cs="Verdana" w:ascii="Verdana" w:hAnsi="Verdana"/>
                <w:sz w:val="18"/>
                <w:szCs w:val="18"/>
              </w:rPr>
              <w:t xml:space="preserve"> O(s) Atestado(s) deverá(ão) ter as seguintes informações mínimas: nome do contratante e do contratado, especificações dos serviços e os quantitativos executados.</w:t>
            </w:r>
          </w:p>
          <w:p>
            <w:pPr>
              <w:pStyle w:val="Normal"/>
              <w:widowControl w:val="false"/>
              <w:tabs>
                <w:tab w:val="clear" w:pos="720"/>
                <w:tab w:val="right" w:pos="8838" w:leader="none"/>
              </w:tabs>
              <w:jc w:val="both"/>
              <w:rPr>
                <w:rFonts w:ascii="Verdana" w:hAnsi="Verdana" w:eastAsia="Verdana" w:cs="Verdana"/>
                <w:b/>
                <w:b/>
                <w:sz w:val="18"/>
                <w:szCs w:val="18"/>
              </w:rPr>
            </w:pPr>
            <w:r>
              <w:rPr>
                <w:rFonts w:eastAsia="Verdana" w:cs="Verdana" w:ascii="Verdana" w:hAnsi="Verdana"/>
                <w:b/>
                <w:sz w:val="18"/>
                <w:szCs w:val="18"/>
              </w:rPr>
            </w:r>
          </w:p>
        </w:tc>
      </w:tr>
      <w:tr>
        <w:trPr/>
        <w:tc>
          <w:tcPr>
            <w:tcW w:w="10065" w:type="dxa"/>
            <w:gridSpan w:val="5"/>
            <w:tcBorders>
              <w:top w:val="single" w:sz="4" w:space="0" w:color="000000"/>
              <w:left w:val="single" w:sz="4" w:space="0" w:color="000000"/>
              <w:bottom w:val="single" w:sz="4" w:space="0" w:color="000000"/>
              <w:right w:val="single" w:sz="4" w:space="0" w:color="000000"/>
            </w:tcBorders>
            <w:shd w:color="auto" w:fill="D9D9D9" w:val="clear"/>
            <w:tcMar>
              <w:top w:w="0" w:type="dxa"/>
              <w:bottom w:w="0" w:type="dxa"/>
            </w:tcMar>
          </w:tcPr>
          <w:p>
            <w:pPr>
              <w:pStyle w:val="Normal"/>
              <w:widowControl w:val="false"/>
              <w:pBdr/>
              <w:tabs>
                <w:tab w:val="clear" w:pos="720"/>
                <w:tab w:val="left" w:pos="1440" w:leader="none"/>
                <w:tab w:val="center" w:pos="4419" w:leader="none"/>
                <w:tab w:val="right" w:pos="8838" w:leader="none"/>
              </w:tabs>
              <w:rPr>
                <w:rFonts w:ascii="Verdana" w:hAnsi="Verdana" w:eastAsia="Verdana" w:cs="Verdana"/>
                <w:b/>
                <w:b/>
                <w:sz w:val="18"/>
                <w:szCs w:val="18"/>
              </w:rPr>
            </w:pPr>
            <w:r>
              <w:rPr>
                <w:rFonts w:eastAsia="Verdana" w:cs="Verdana" w:ascii="Verdana" w:hAnsi="Verdana"/>
                <w:b/>
                <w:sz w:val="18"/>
                <w:szCs w:val="18"/>
              </w:rPr>
            </w:r>
          </w:p>
          <w:p>
            <w:pPr>
              <w:pStyle w:val="Normal"/>
              <w:widowControl w:val="false"/>
              <w:pBdr/>
              <w:tabs>
                <w:tab w:val="clear" w:pos="720"/>
                <w:tab w:val="left" w:pos="1440" w:leader="none"/>
                <w:tab w:val="center" w:pos="4419" w:leader="none"/>
                <w:tab w:val="right" w:pos="8838" w:leader="none"/>
              </w:tabs>
              <w:jc w:val="center"/>
              <w:rPr>
                <w:rFonts w:ascii="Verdana" w:hAnsi="Verdana" w:eastAsia="Verdana" w:cs="Verdana"/>
                <w:sz w:val="18"/>
                <w:szCs w:val="18"/>
              </w:rPr>
            </w:pPr>
            <w:r>
              <w:rPr>
                <w:rFonts w:eastAsia="Verdana" w:cs="Verdana" w:ascii="Verdana" w:hAnsi="Verdana"/>
                <w:b/>
                <w:sz w:val="18"/>
                <w:szCs w:val="18"/>
              </w:rPr>
              <w:t>TODOS OS DOCUMENTOS</w:t>
            </w:r>
            <w:r>
              <w:rPr>
                <w:rFonts w:eastAsia="Verdana" w:cs="Verdana" w:ascii="Verdana" w:hAnsi="Verdana"/>
                <w:sz w:val="18"/>
                <w:szCs w:val="18"/>
              </w:rPr>
              <w:t xml:space="preserve"> (EDITAL, AVISOS, ESCLARECIMENTOS, IMPUGNAÇÕES E OUTROS) ESTARÃO DISPONÍVEIS NO SÍTIO DO PJES.</w:t>
            </w:r>
          </w:p>
          <w:p>
            <w:pPr>
              <w:pStyle w:val="Normal"/>
              <w:widowControl w:val="false"/>
              <w:pBdr/>
              <w:tabs>
                <w:tab w:val="clear" w:pos="720"/>
                <w:tab w:val="left" w:pos="1440" w:leader="none"/>
                <w:tab w:val="center" w:pos="4419" w:leader="none"/>
                <w:tab w:val="right" w:pos="8838" w:leader="none"/>
              </w:tabs>
              <w:jc w:val="center"/>
              <w:rPr>
                <w:rFonts w:ascii="Verdana" w:hAnsi="Verdana" w:eastAsia="Verdana" w:cs="Verdana"/>
                <w:sz w:val="18"/>
                <w:szCs w:val="18"/>
                <w:u w:val="single"/>
              </w:rPr>
            </w:pPr>
            <w:hyperlink r:id="rId4">
              <w:r>
                <w:rPr>
                  <w:rFonts w:eastAsia="Verdana" w:cs="Verdana" w:ascii="Verdana" w:hAnsi="Verdana"/>
                  <w:sz w:val="18"/>
                  <w:szCs w:val="18"/>
                  <w:u w:val="single"/>
                </w:rPr>
                <w:t>www.tjes.jus.br &gt; Portal da Transparência &gt; Licitações e Contratos &gt; Licitações</w:t>
              </w:r>
            </w:hyperlink>
          </w:p>
          <w:p>
            <w:pPr>
              <w:pStyle w:val="Normal"/>
              <w:widowControl w:val="false"/>
              <w:pBdr/>
              <w:tabs>
                <w:tab w:val="clear" w:pos="720"/>
                <w:tab w:val="left" w:pos="1440" w:leader="none"/>
                <w:tab w:val="center" w:pos="4419" w:leader="none"/>
                <w:tab w:val="right" w:pos="8838" w:leader="none"/>
              </w:tabs>
              <w:jc w:val="center"/>
              <w:rPr>
                <w:rFonts w:ascii="Verdana" w:hAnsi="Verdana" w:eastAsia="Verdana" w:cs="Verdana"/>
                <w:b/>
                <w:b/>
              </w:rPr>
            </w:pPr>
            <w:r>
              <w:rPr>
                <w:rFonts w:eastAsia="Verdana" w:cs="Verdana" w:ascii="Verdana" w:hAnsi="Verdana"/>
                <w:b/>
              </w:rPr>
            </w:r>
          </w:p>
        </w:tc>
      </w:tr>
      <w:tr>
        <w:trPr/>
        <w:tc>
          <w:tcPr>
            <w:tcW w:w="10065" w:type="dxa"/>
            <w:gridSpan w:val="5"/>
            <w:tcBorders>
              <w:top w:val="single" w:sz="4" w:space="0" w:color="000000"/>
              <w:left w:val="single" w:sz="4" w:space="0" w:color="000000"/>
              <w:bottom w:val="single" w:sz="4" w:space="0" w:color="000000"/>
              <w:right w:val="single" w:sz="4" w:space="0" w:color="000000"/>
            </w:tcBorders>
            <w:shd w:color="auto" w:fill="D9D9D9" w:val="clear"/>
            <w:tcMar>
              <w:top w:w="0" w:type="dxa"/>
              <w:bottom w:w="0" w:type="dxa"/>
            </w:tcMar>
          </w:tcPr>
          <w:p>
            <w:pPr>
              <w:pStyle w:val="Normal"/>
              <w:widowControl w:val="false"/>
              <w:pBdr/>
              <w:tabs>
                <w:tab w:val="clear" w:pos="720"/>
                <w:tab w:val="left" w:pos="1440" w:leader="none"/>
                <w:tab w:val="center" w:pos="4419" w:leader="none"/>
                <w:tab w:val="right" w:pos="8838" w:leader="none"/>
              </w:tabs>
              <w:jc w:val="center"/>
              <w:rPr>
                <w:rFonts w:ascii="Verdana" w:hAnsi="Verdana" w:eastAsia="Verdana" w:cs="Verdana"/>
                <w:b/>
                <w:b/>
              </w:rPr>
            </w:pPr>
            <w:r>
              <w:rPr>
                <w:rFonts w:eastAsia="Verdana" w:cs="Verdana" w:ascii="Verdana" w:hAnsi="Verdana"/>
                <w:b/>
              </w:rPr>
            </w:r>
          </w:p>
          <w:p>
            <w:pPr>
              <w:pStyle w:val="Normal"/>
              <w:widowControl w:val="false"/>
              <w:pBdr/>
              <w:tabs>
                <w:tab w:val="clear" w:pos="720"/>
                <w:tab w:val="left" w:pos="1440" w:leader="none"/>
                <w:tab w:val="center" w:pos="4419" w:leader="none"/>
                <w:tab w:val="right" w:pos="8838" w:leader="none"/>
              </w:tabs>
              <w:jc w:val="center"/>
              <w:rPr>
                <w:rFonts w:ascii="Verdana" w:hAnsi="Verdana" w:eastAsia="Verdana" w:cs="Verdana"/>
                <w:b/>
                <w:b/>
              </w:rPr>
            </w:pPr>
            <w:r>
              <w:rPr>
                <w:rFonts w:eastAsia="Verdana" w:cs="Verdana" w:ascii="Verdana" w:hAnsi="Verdana"/>
                <w:b/>
              </w:rPr>
              <w:t>ESTA CAPA É PARTE INTEGRANTE DO PRESENTE EDITAL</w:t>
            </w:r>
          </w:p>
          <w:p>
            <w:pPr>
              <w:pStyle w:val="Normal"/>
              <w:widowControl w:val="false"/>
              <w:pBdr/>
              <w:tabs>
                <w:tab w:val="clear" w:pos="720"/>
                <w:tab w:val="left" w:pos="1440" w:leader="none"/>
                <w:tab w:val="center" w:pos="4419" w:leader="none"/>
                <w:tab w:val="right" w:pos="8838" w:leader="none"/>
              </w:tabs>
              <w:jc w:val="center"/>
              <w:rPr>
                <w:rFonts w:ascii="Verdana" w:hAnsi="Verdana" w:eastAsia="Verdana" w:cs="Verdana"/>
                <w:b/>
                <w:b/>
                <w:sz w:val="18"/>
                <w:szCs w:val="18"/>
              </w:rPr>
            </w:pPr>
            <w:r>
              <w:rPr>
                <w:rFonts w:eastAsia="Verdana" w:cs="Verdana" w:ascii="Verdana" w:hAnsi="Verdana"/>
                <w:b/>
                <w:sz w:val="18"/>
                <w:szCs w:val="18"/>
              </w:rPr>
            </w:r>
          </w:p>
        </w:tc>
      </w:tr>
    </w:tbl>
    <w:p>
      <w:pPr>
        <w:pStyle w:val="Normal"/>
        <w:rPr/>
      </w:pPr>
      <w:r>
        <w:rPr/>
      </w:r>
    </w:p>
    <w:p>
      <w:pPr>
        <w:pStyle w:val="Normal"/>
        <w:pBdr/>
        <w:tabs>
          <w:tab w:val="clear" w:pos="720"/>
          <w:tab w:val="left" w:pos="709" w:leader="none"/>
        </w:tabs>
        <w:jc w:val="center"/>
        <w:rPr>
          <w:rFonts w:ascii="Verdana" w:hAnsi="Verdana" w:eastAsia="Verdana" w:cs="Verdana"/>
          <w:b/>
          <w:b/>
          <w:sz w:val="24"/>
          <w:szCs w:val="24"/>
        </w:rPr>
      </w:pPr>
      <w:r>
        <w:rPr>
          <w:rFonts w:eastAsia="Verdana" w:cs="Verdana" w:ascii="Verdana" w:hAnsi="Verdana"/>
          <w:b/>
          <w:sz w:val="24"/>
          <w:szCs w:val="24"/>
        </w:rPr>
      </w:r>
    </w:p>
    <w:p>
      <w:pPr>
        <w:pStyle w:val="Normal"/>
        <w:rPr>
          <w:rFonts w:ascii="Verdana" w:hAnsi="Verdana" w:eastAsia="Verdana" w:cs="Verdana"/>
          <w:b/>
          <w:b/>
          <w:sz w:val="24"/>
          <w:szCs w:val="24"/>
        </w:rPr>
      </w:pPr>
      <w:r>
        <w:rPr>
          <w:rFonts w:eastAsia="Verdana" w:cs="Verdana" w:ascii="Verdana" w:hAnsi="Verdana"/>
          <w:b/>
          <w:sz w:val="24"/>
          <w:szCs w:val="24"/>
        </w:rPr>
      </w:r>
      <w:r>
        <w:br w:type="page"/>
      </w:r>
    </w:p>
    <w:p>
      <w:pPr>
        <w:pStyle w:val="Normal"/>
        <w:pBdr/>
        <w:tabs>
          <w:tab w:val="clear" w:pos="720"/>
          <w:tab w:val="left" w:pos="1134" w:leader="none"/>
          <w:tab w:val="left" w:pos="2268" w:leader="none"/>
          <w:tab w:val="left" w:pos="3402" w:leader="none"/>
          <w:tab w:val="left" w:pos="4536" w:leader="none"/>
          <w:tab w:val="left" w:pos="5670" w:leader="none"/>
          <w:tab w:val="left" w:pos="6804" w:leader="none"/>
          <w:tab w:val="left" w:pos="7938" w:leader="none"/>
          <w:tab w:val="left" w:pos="9072" w:leader="none"/>
          <w:tab w:val="left" w:pos="10206" w:leader="none"/>
          <w:tab w:val="left" w:pos="11340" w:leader="none"/>
        </w:tabs>
        <w:jc w:val="center"/>
        <w:rPr>
          <w:rFonts w:ascii="Verdana" w:hAnsi="Verdana" w:eastAsia="Verdana" w:cs="Verdana"/>
          <w:b/>
          <w:b/>
          <w:i/>
          <w:i/>
          <w:sz w:val="18"/>
          <w:szCs w:val="18"/>
        </w:rPr>
      </w:pPr>
      <w:r>
        <w:rPr>
          <w:rFonts w:eastAsia="Verdana" w:cs="Verdana" w:ascii="Verdana" w:hAnsi="Verdana"/>
          <w:b/>
          <w:sz w:val="18"/>
          <w:szCs w:val="18"/>
        </w:rPr>
        <w:t>PREGÃO ELETRÔNICO Nº PE</w:t>
      </w:r>
      <w:r>
        <w:rPr>
          <w:rFonts w:eastAsia="Verdana" w:cs="Verdana" w:ascii="Verdana" w:hAnsi="Verdana"/>
          <w:b/>
          <w:sz w:val="18"/>
          <w:szCs w:val="18"/>
        </w:rPr>
        <w:t>095</w:t>
      </w:r>
      <w:r>
        <w:rPr>
          <w:rFonts w:eastAsia="Verdana" w:cs="Verdana" w:ascii="Verdana" w:hAnsi="Verdana"/>
          <w:b/>
          <w:sz w:val="18"/>
          <w:szCs w:val="18"/>
        </w:rPr>
        <w:t>/2023</w:t>
      </w:r>
    </w:p>
    <w:p>
      <w:pPr>
        <w:pStyle w:val="Normal"/>
        <w:pBdr/>
        <w:tabs>
          <w:tab w:val="clear" w:pos="720"/>
          <w:tab w:val="left" w:pos="1134" w:leader="none"/>
          <w:tab w:val="left" w:pos="2268" w:leader="none"/>
          <w:tab w:val="left" w:pos="3402" w:leader="none"/>
          <w:tab w:val="left" w:pos="4536" w:leader="none"/>
          <w:tab w:val="left" w:pos="5670" w:leader="none"/>
          <w:tab w:val="left" w:pos="6804" w:leader="none"/>
          <w:tab w:val="left" w:pos="7938" w:leader="none"/>
          <w:tab w:val="left" w:pos="9072" w:leader="none"/>
          <w:tab w:val="left" w:pos="10206" w:leader="none"/>
          <w:tab w:val="left" w:pos="11340" w:leader="none"/>
        </w:tabs>
        <w:jc w:val="center"/>
        <w:rPr>
          <w:rFonts w:ascii="Verdana" w:hAnsi="Verdana" w:eastAsia="Verdana" w:cs="Verdana"/>
          <w:b/>
          <w:b/>
          <w:sz w:val="18"/>
          <w:szCs w:val="18"/>
        </w:rPr>
      </w:pPr>
      <w:r>
        <w:rPr>
          <w:rFonts w:eastAsia="Verdana" w:cs="Verdana" w:ascii="Verdana" w:hAnsi="Verdana"/>
          <w:b/>
          <w:sz w:val="18"/>
          <w:szCs w:val="18"/>
        </w:rPr>
        <w:t>PROCESSO SEI Nº 7003860-85.2023.8.08.0000</w:t>
      </w:r>
    </w:p>
    <w:p>
      <w:pPr>
        <w:pStyle w:val="Normal"/>
        <w:pBdr/>
        <w:tabs>
          <w:tab w:val="clear" w:pos="720"/>
          <w:tab w:val="left" w:pos="1134" w:leader="none"/>
          <w:tab w:val="left" w:pos="2268" w:leader="none"/>
          <w:tab w:val="left" w:pos="3402" w:leader="none"/>
          <w:tab w:val="left" w:pos="4536" w:leader="none"/>
          <w:tab w:val="left" w:pos="5670" w:leader="none"/>
          <w:tab w:val="left" w:pos="6804" w:leader="none"/>
          <w:tab w:val="left" w:pos="7938" w:leader="none"/>
          <w:tab w:val="left" w:pos="9072" w:leader="none"/>
          <w:tab w:val="left" w:pos="10206" w:leader="none"/>
          <w:tab w:val="left" w:pos="11340" w:leader="none"/>
        </w:tabs>
        <w:jc w:val="center"/>
        <w:rPr>
          <w:rFonts w:ascii="Verdana" w:hAnsi="Verdana" w:eastAsia="Verdana" w:cs="Verdana"/>
          <w:b/>
          <w:b/>
          <w:sz w:val="18"/>
          <w:szCs w:val="18"/>
        </w:rPr>
      </w:pPr>
      <w:r>
        <w:rPr>
          <w:rFonts w:eastAsia="Verdana" w:cs="Verdana" w:ascii="Verdana" w:hAnsi="Verdana"/>
          <w:b/>
          <w:sz w:val="18"/>
          <w:szCs w:val="18"/>
        </w:rPr>
        <w:t>CIC-TCEES Nº 2023.500J1200001.02.0048</w:t>
      </w:r>
    </w:p>
    <w:p>
      <w:pPr>
        <w:pStyle w:val="Normal"/>
        <w:pBdr/>
        <w:tabs>
          <w:tab w:val="clear" w:pos="720"/>
          <w:tab w:val="left" w:pos="1134" w:leader="none"/>
          <w:tab w:val="left" w:pos="2268" w:leader="none"/>
          <w:tab w:val="left" w:pos="3402" w:leader="none"/>
          <w:tab w:val="left" w:pos="4536" w:leader="none"/>
          <w:tab w:val="left" w:pos="5670" w:leader="none"/>
          <w:tab w:val="left" w:pos="6804" w:leader="none"/>
          <w:tab w:val="left" w:pos="7938" w:leader="none"/>
          <w:tab w:val="left" w:pos="9072" w:leader="none"/>
          <w:tab w:val="left" w:pos="10206" w:leader="none"/>
          <w:tab w:val="left" w:pos="11340" w:leader="none"/>
        </w:tabs>
        <w:jc w:val="center"/>
        <w:rPr>
          <w:rFonts w:ascii="Verdana" w:hAnsi="Verdana" w:eastAsia="Verdana" w:cs="Verdana"/>
          <w:b/>
          <w:b/>
          <w:sz w:val="18"/>
          <w:szCs w:val="18"/>
        </w:rPr>
      </w:pPr>
      <w:r>
        <w:rPr>
          <w:rFonts w:eastAsia="Verdana" w:cs="Verdana" w:ascii="Verdana" w:hAnsi="Verdana"/>
          <w:b/>
          <w:sz w:val="18"/>
          <w:szCs w:val="18"/>
        </w:rPr>
        <w:t>TIPO: MENOR PREÇO</w:t>
      </w:r>
    </w:p>
    <w:p>
      <w:pPr>
        <w:pStyle w:val="Normal"/>
        <w:pBdr/>
        <w:tabs>
          <w:tab w:val="clear" w:pos="720"/>
          <w:tab w:val="left" w:pos="1134" w:leader="none"/>
          <w:tab w:val="left" w:pos="2268" w:leader="none"/>
          <w:tab w:val="left" w:pos="3402" w:leader="none"/>
          <w:tab w:val="left" w:pos="4536" w:leader="none"/>
          <w:tab w:val="left" w:pos="5670" w:leader="none"/>
          <w:tab w:val="left" w:pos="6804" w:leader="none"/>
          <w:tab w:val="left" w:pos="7938" w:leader="none"/>
          <w:tab w:val="left" w:pos="9072" w:leader="none"/>
          <w:tab w:val="left" w:pos="10206" w:leader="none"/>
          <w:tab w:val="left" w:pos="11340" w:leader="none"/>
        </w:tabs>
        <w:jc w:val="center"/>
        <w:rPr>
          <w:rFonts w:ascii="Verdana" w:hAnsi="Verdana" w:eastAsia="Verdana" w:cs="Verdana"/>
          <w:b/>
          <w:b/>
          <w:sz w:val="18"/>
          <w:szCs w:val="18"/>
        </w:rPr>
      </w:pPr>
      <w:r>
        <w:rPr>
          <w:rFonts w:eastAsia="Verdana" w:cs="Verdana" w:ascii="Verdana" w:hAnsi="Verdana"/>
          <w:b/>
          <w:sz w:val="18"/>
          <w:szCs w:val="18"/>
        </w:rPr>
      </w:r>
    </w:p>
    <w:p>
      <w:pPr>
        <w:pStyle w:val="Normal"/>
        <w:pBdr/>
        <w:tabs>
          <w:tab w:val="clear" w:pos="720"/>
          <w:tab w:val="left" w:pos="709" w:leader="none"/>
        </w:tabs>
        <w:jc w:val="both"/>
        <w:rPr>
          <w:rFonts w:ascii="Verdana" w:hAnsi="Verdana" w:eastAsia="Verdana" w:cs="Verdana"/>
          <w:b/>
          <w:b/>
          <w:sz w:val="18"/>
          <w:szCs w:val="18"/>
        </w:rPr>
      </w:pPr>
      <w:r>
        <w:rPr>
          <w:rFonts w:eastAsia="Verdana" w:cs="Verdana" w:ascii="Verdana" w:hAnsi="Verdana"/>
          <w:b/>
          <w:sz w:val="18"/>
          <w:szCs w:val="18"/>
        </w:rPr>
      </w:r>
    </w:p>
    <w:p>
      <w:pPr>
        <w:pStyle w:val="Normal"/>
        <w:jc w:val="both"/>
        <w:rPr>
          <w:rFonts w:ascii="Verdana" w:hAnsi="Verdana" w:eastAsia="Verdana" w:cs="Verdana"/>
          <w:strike/>
          <w:sz w:val="18"/>
          <w:szCs w:val="18"/>
        </w:rPr>
      </w:pPr>
      <w:r>
        <w:rPr>
          <w:rFonts w:eastAsia="Verdana" w:cs="Verdana" w:ascii="Verdana" w:hAnsi="Verdana"/>
          <w:b/>
          <w:sz w:val="18"/>
          <w:szCs w:val="18"/>
        </w:rPr>
        <w:t>Legislação</w:t>
      </w:r>
      <w:r>
        <w:rPr>
          <w:rFonts w:eastAsia="Verdana" w:cs="Verdana" w:ascii="Verdana" w:hAnsi="Verdana"/>
          <w:sz w:val="18"/>
          <w:szCs w:val="18"/>
        </w:rPr>
        <w:t xml:space="preserve">: </w:t>
      </w:r>
      <w:r>
        <w:rPr>
          <w:rFonts w:eastAsia="Verdana" w:cs="Verdana" w:ascii="Verdana" w:hAnsi="Verdana"/>
          <w:b/>
          <w:sz w:val="18"/>
          <w:szCs w:val="18"/>
        </w:rPr>
        <w:t>Lei 14.133/2021</w:t>
      </w:r>
      <w:r>
        <w:rPr>
          <w:rFonts w:eastAsia="Verdana" w:cs="Verdana" w:ascii="Verdana" w:hAnsi="Verdana"/>
          <w:sz w:val="18"/>
          <w:szCs w:val="18"/>
        </w:rPr>
        <w:t xml:space="preserve"> </w:t>
      </w:r>
      <w:r>
        <w:rPr>
          <w:rFonts w:eastAsia="Arial" w:cs="Arial" w:ascii="Arial" w:hAnsi="Arial"/>
        </w:rPr>
        <w:t xml:space="preserve">e demais legislações aplicáveis e, ainda, de acordo com as condições estabelecidas neste Edital. </w:t>
      </w:r>
      <w:r>
        <w:rPr>
          <w:rFonts w:eastAsia="Verdana" w:cs="Verdana" w:ascii="Verdana" w:hAnsi="Verdana"/>
          <w:b/>
          <w:sz w:val="18"/>
          <w:szCs w:val="18"/>
        </w:rPr>
        <w:t>Ato Normativo de designação dos Pregoeiros e Equipes de Apoio nº 346/2023, disponibilizado no Diário da Justiça eletrônico no dia de 03/07/2023.</w:t>
      </w:r>
      <w:r>
        <w:rPr>
          <w:rFonts w:eastAsia="Verdana" w:cs="Verdana" w:ascii="Verdana" w:hAnsi="Verdana"/>
          <w:strike/>
          <w:sz w:val="18"/>
          <w:szCs w:val="18"/>
        </w:rPr>
        <w:t xml:space="preserve"> </w:t>
      </w:r>
    </w:p>
    <w:p>
      <w:pPr>
        <w:pStyle w:val="Normal"/>
        <w:jc w:val="both"/>
        <w:rPr>
          <w:rFonts w:ascii="Verdana" w:hAnsi="Verdana" w:eastAsia="Verdana" w:cs="Verdana"/>
          <w:sz w:val="18"/>
          <w:szCs w:val="18"/>
        </w:rPr>
      </w:pPr>
      <w:r>
        <w:rPr>
          <w:rFonts w:eastAsia="Verdana" w:cs="Verdana" w:ascii="Verdana" w:hAnsi="Verdana"/>
          <w:sz w:val="18"/>
          <w:szCs w:val="18"/>
        </w:rPr>
      </w:r>
    </w:p>
    <w:p>
      <w:pPr>
        <w:pStyle w:val="Normal"/>
        <w:pBdr/>
        <w:tabs>
          <w:tab w:val="clear" w:pos="720"/>
          <w:tab w:val="left" w:pos="709" w:leader="none"/>
        </w:tabs>
        <w:jc w:val="both"/>
        <w:rPr>
          <w:rFonts w:ascii="Verdana" w:hAnsi="Verdana" w:eastAsia="Verdana" w:cs="Verdana"/>
          <w:sz w:val="18"/>
          <w:szCs w:val="18"/>
        </w:rPr>
      </w:pPr>
      <w:r>
        <w:rPr>
          <w:rFonts w:eastAsia="Verdana" w:cs="Verdana" w:ascii="Verdana" w:hAnsi="Verdana"/>
          <w:b/>
          <w:sz w:val="18"/>
          <w:szCs w:val="18"/>
        </w:rPr>
        <w:t xml:space="preserve">Órgão Interessado: O ESTADO DO ESPÍRITO SANTO, </w:t>
      </w:r>
      <w:r>
        <w:rPr>
          <w:rFonts w:eastAsia="Verdana" w:cs="Verdana" w:ascii="Verdana" w:hAnsi="Verdana"/>
          <w:sz w:val="18"/>
          <w:szCs w:val="18"/>
        </w:rPr>
        <w:t>por intermédio do</w:t>
      </w:r>
      <w:r>
        <w:rPr>
          <w:rFonts w:eastAsia="Verdana" w:cs="Verdana" w:ascii="Verdana" w:hAnsi="Verdana"/>
          <w:b/>
          <w:sz w:val="18"/>
          <w:szCs w:val="18"/>
        </w:rPr>
        <w:t xml:space="preserve"> PODER JUDICIÁRIO DO ESTADO DO ESPÍRITO SANTO - UASG 925968</w:t>
      </w:r>
      <w:r>
        <w:rPr>
          <w:rFonts w:eastAsia="Verdana" w:cs="Verdana" w:ascii="Verdana" w:hAnsi="Verdana"/>
          <w:sz w:val="18"/>
          <w:szCs w:val="18"/>
        </w:rPr>
        <w:t xml:space="preserve">, CNPJ nº 27.476.100/0001-45, sediado na Rua Des. Homero Mafra, nº 60, Enseada do Suá, Vitória/ES, CEP: 29.050-906, telefone (27) 3334-2000 e site </w:t>
      </w:r>
      <w:hyperlink r:id="rId5">
        <w:r>
          <w:rPr>
            <w:rFonts w:eastAsia="Verdana" w:cs="Verdana" w:ascii="Verdana" w:hAnsi="Verdana"/>
            <w:sz w:val="18"/>
            <w:szCs w:val="18"/>
            <w:u w:val="single"/>
          </w:rPr>
          <w:t>www.tjes.jus.br</w:t>
        </w:r>
      </w:hyperlink>
      <w:r>
        <w:rPr>
          <w:rFonts w:eastAsia="Verdana" w:cs="Verdana" w:ascii="Verdana" w:hAnsi="Verdana"/>
          <w:sz w:val="18"/>
          <w:szCs w:val="18"/>
        </w:rPr>
        <w:t>.</w:t>
      </w:r>
    </w:p>
    <w:p>
      <w:pPr>
        <w:pStyle w:val="Normal"/>
        <w:pBdr/>
        <w:tabs>
          <w:tab w:val="clear" w:pos="720"/>
          <w:tab w:val="left" w:pos="709" w:leader="none"/>
        </w:tabs>
        <w:jc w:val="both"/>
        <w:rPr>
          <w:rFonts w:ascii="Verdana" w:hAnsi="Verdana" w:eastAsia="Verdana" w:cs="Verdana"/>
          <w:sz w:val="18"/>
          <w:szCs w:val="18"/>
        </w:rPr>
      </w:pPr>
      <w:r>
        <w:rPr>
          <w:rFonts w:eastAsia="Verdana" w:cs="Verdana" w:ascii="Verdana" w:hAnsi="Verdana"/>
          <w:sz w:val="18"/>
          <w:szCs w:val="18"/>
        </w:rPr>
      </w:r>
    </w:p>
    <w:p>
      <w:pPr>
        <w:pStyle w:val="Normal"/>
        <w:pBdr/>
        <w:tabs>
          <w:tab w:val="clear" w:pos="720"/>
          <w:tab w:val="left" w:pos="709" w:leader="none"/>
        </w:tabs>
        <w:jc w:val="both"/>
        <w:rPr>
          <w:rFonts w:ascii="Verdana" w:hAnsi="Verdana" w:eastAsia="Verdana" w:cs="Verdana"/>
          <w:sz w:val="18"/>
          <w:szCs w:val="18"/>
        </w:rPr>
      </w:pPr>
      <w:r>
        <w:rPr>
          <w:rFonts w:eastAsia="Verdana" w:cs="Verdana" w:ascii="Verdana" w:hAnsi="Verdana"/>
          <w:b/>
          <w:sz w:val="18"/>
          <w:szCs w:val="18"/>
        </w:rPr>
        <w:t xml:space="preserve">Sessão Pública: </w:t>
      </w:r>
      <w:r>
        <w:rPr>
          <w:rFonts w:eastAsia="Verdana" w:cs="Verdana" w:ascii="Verdana" w:hAnsi="Verdana"/>
          <w:b/>
          <w:sz w:val="18"/>
          <w:szCs w:val="18"/>
        </w:rPr>
        <w:t xml:space="preserve">29 </w:t>
      </w:r>
      <w:r>
        <w:rPr>
          <w:rFonts w:eastAsia="Verdana" w:cs="Verdana" w:ascii="Verdana" w:hAnsi="Verdana"/>
          <w:b/>
          <w:sz w:val="18"/>
          <w:szCs w:val="18"/>
        </w:rPr>
        <w:t xml:space="preserve">de </w:t>
      </w:r>
      <w:r>
        <w:rPr>
          <w:rFonts w:eastAsia="Verdana" w:cs="Verdana" w:ascii="Verdana" w:hAnsi="Verdana"/>
          <w:b/>
          <w:sz w:val="18"/>
          <w:szCs w:val="18"/>
        </w:rPr>
        <w:t>novembro</w:t>
      </w:r>
      <w:r>
        <w:rPr>
          <w:rFonts w:eastAsia="Verdana" w:cs="Verdana" w:ascii="Verdana" w:hAnsi="Verdana"/>
          <w:b/>
          <w:sz w:val="18"/>
          <w:szCs w:val="18"/>
        </w:rPr>
        <w:t xml:space="preserve"> de 2023, às </w:t>
      </w:r>
      <w:r>
        <w:rPr>
          <w:rFonts w:eastAsia="Verdana" w:cs="Verdana" w:ascii="Verdana" w:hAnsi="Verdana"/>
          <w:b/>
          <w:sz w:val="18"/>
          <w:szCs w:val="18"/>
        </w:rPr>
        <w:t>14</w:t>
      </w:r>
      <w:r>
        <w:rPr>
          <w:rFonts w:eastAsia="Verdana" w:cs="Verdana" w:ascii="Verdana" w:hAnsi="Verdana"/>
          <w:b/>
          <w:sz w:val="18"/>
          <w:szCs w:val="18"/>
        </w:rPr>
        <w:t xml:space="preserve">:00 horas, </w:t>
      </w:r>
      <w:r>
        <w:rPr>
          <w:rFonts w:eastAsia="Verdana" w:cs="Verdana" w:ascii="Verdana" w:hAnsi="Verdana"/>
          <w:sz w:val="18"/>
          <w:szCs w:val="18"/>
        </w:rPr>
        <w:t>com participação exclusivamente por meio de sistema eletrônico do Governo Federal (www.gov.br/compras/pt-br/).</w:t>
      </w:r>
    </w:p>
    <w:p>
      <w:pPr>
        <w:pStyle w:val="Normal"/>
        <w:pBdr/>
        <w:tabs>
          <w:tab w:val="clear" w:pos="720"/>
          <w:tab w:val="left" w:pos="709" w:leader="none"/>
        </w:tabs>
        <w:jc w:val="both"/>
        <w:rPr>
          <w:rFonts w:ascii="Verdana" w:hAnsi="Verdana" w:eastAsia="Verdana" w:cs="Verdana"/>
          <w:sz w:val="18"/>
          <w:szCs w:val="18"/>
        </w:rPr>
      </w:pPr>
      <w:r>
        <w:rPr>
          <w:rFonts w:eastAsia="Verdana" w:cs="Verdana" w:ascii="Verdana" w:hAnsi="Verdana"/>
          <w:sz w:val="18"/>
          <w:szCs w:val="18"/>
        </w:rPr>
      </w:r>
    </w:p>
    <w:p>
      <w:pPr>
        <w:pStyle w:val="Normal"/>
        <w:pBdr/>
        <w:tabs>
          <w:tab w:val="clear" w:pos="720"/>
          <w:tab w:val="left" w:pos="709" w:leader="none"/>
        </w:tabs>
        <w:jc w:val="both"/>
        <w:rPr>
          <w:rFonts w:ascii="Verdana" w:hAnsi="Verdana" w:eastAsia="Verdana" w:cs="Verdana"/>
          <w:b/>
          <w:b/>
          <w:sz w:val="18"/>
          <w:szCs w:val="18"/>
        </w:rPr>
      </w:pPr>
      <w:r>
        <w:rPr>
          <w:rFonts w:eastAsia="Verdana" w:cs="Verdana" w:ascii="Verdana" w:hAnsi="Verdana"/>
          <w:b/>
          <w:sz w:val="18"/>
          <w:szCs w:val="18"/>
        </w:rPr>
        <w:t>ANEXOS QUE COMPÕEM O EDITAL:</w:t>
      </w:r>
    </w:p>
    <w:p>
      <w:pPr>
        <w:pStyle w:val="Normal"/>
        <w:pBdr/>
        <w:tabs>
          <w:tab w:val="clear" w:pos="720"/>
          <w:tab w:val="left" w:pos="709" w:leader="none"/>
        </w:tabs>
        <w:jc w:val="both"/>
        <w:rPr>
          <w:rFonts w:ascii="Verdana" w:hAnsi="Verdana" w:eastAsia="Verdana" w:cs="Verdana"/>
          <w:b/>
          <w:b/>
          <w:sz w:val="18"/>
          <w:szCs w:val="18"/>
        </w:rPr>
      </w:pPr>
      <w:r>
        <w:rPr>
          <w:rFonts w:eastAsia="Verdana" w:cs="Verdana" w:ascii="Verdana" w:hAnsi="Verdana"/>
          <w:b/>
          <w:sz w:val="18"/>
          <w:szCs w:val="18"/>
        </w:rPr>
      </w:r>
    </w:p>
    <w:p>
      <w:pPr>
        <w:pStyle w:val="ListParagraph"/>
        <w:numPr>
          <w:ilvl w:val="0"/>
          <w:numId w:val="3"/>
        </w:numPr>
        <w:pBdr/>
        <w:tabs>
          <w:tab w:val="clear" w:pos="720"/>
          <w:tab w:val="left" w:pos="709" w:leader="none"/>
        </w:tabs>
        <w:jc w:val="both"/>
        <w:rPr>
          <w:rFonts w:ascii="Verdana" w:hAnsi="Verdana" w:eastAsia="Verdana" w:cs="Verdana"/>
          <w:b/>
          <w:b/>
          <w:sz w:val="18"/>
          <w:szCs w:val="18"/>
        </w:rPr>
      </w:pPr>
      <w:r>
        <w:rPr>
          <w:rFonts w:eastAsia="Verdana" w:cs="Verdana" w:ascii="Verdana" w:hAnsi="Verdana"/>
          <w:b/>
          <w:sz w:val="18"/>
          <w:szCs w:val="18"/>
        </w:rPr>
        <w:t>CAPA DO EDITAL</w:t>
      </w:r>
    </w:p>
    <w:p>
      <w:pPr>
        <w:pStyle w:val="ListParagraph"/>
        <w:numPr>
          <w:ilvl w:val="0"/>
          <w:numId w:val="3"/>
        </w:numPr>
        <w:jc w:val="both"/>
        <w:rPr>
          <w:rFonts w:ascii="Verdana" w:hAnsi="Verdana" w:eastAsia="Verdana" w:cs="Verdana"/>
          <w:sz w:val="18"/>
          <w:szCs w:val="18"/>
        </w:rPr>
      </w:pPr>
      <w:r>
        <w:rPr>
          <w:rFonts w:eastAsia="Verdana" w:cs="Verdana" w:ascii="Verdana" w:hAnsi="Verdana"/>
          <w:b/>
          <w:sz w:val="18"/>
          <w:szCs w:val="18"/>
        </w:rPr>
        <w:t>ANEXO I -</w:t>
      </w:r>
      <w:r>
        <w:rPr>
          <w:rFonts w:eastAsia="Verdana" w:cs="Verdana" w:ascii="Verdana" w:hAnsi="Verdana"/>
          <w:sz w:val="18"/>
          <w:szCs w:val="18"/>
        </w:rPr>
        <w:t xml:space="preserve"> Termo de Referência e Adendos:</w:t>
      </w:r>
    </w:p>
    <w:p>
      <w:pPr>
        <w:pStyle w:val="ListParagraph"/>
        <w:numPr>
          <w:ilvl w:val="0"/>
          <w:numId w:val="3"/>
        </w:numPr>
        <w:tabs>
          <w:tab w:val="clear" w:pos="720"/>
          <w:tab w:val="left" w:pos="0" w:leader="none"/>
        </w:tabs>
        <w:jc w:val="both"/>
        <w:rPr>
          <w:rFonts w:ascii="Verdana" w:hAnsi="Verdana" w:eastAsia="Verdana" w:cs="Verdana"/>
          <w:sz w:val="18"/>
          <w:szCs w:val="18"/>
        </w:rPr>
      </w:pPr>
      <w:r>
        <w:rPr>
          <w:rFonts w:eastAsia="Verdana" w:cs="Verdana" w:ascii="Verdana" w:hAnsi="Verdana"/>
          <w:b/>
          <w:sz w:val="18"/>
          <w:szCs w:val="18"/>
        </w:rPr>
        <w:t>ANEXO II</w:t>
      </w:r>
      <w:r>
        <w:rPr>
          <w:rFonts w:eastAsia="Verdana" w:cs="Verdana" w:ascii="Verdana" w:hAnsi="Verdana"/>
          <w:sz w:val="18"/>
          <w:szCs w:val="18"/>
        </w:rPr>
        <w:t xml:space="preserve"> – Planilha de Preços Máximos/Modelo de Proposta Comercial</w:t>
      </w:r>
    </w:p>
    <w:p>
      <w:pPr>
        <w:pStyle w:val="ListParagraph"/>
        <w:numPr>
          <w:ilvl w:val="0"/>
          <w:numId w:val="3"/>
        </w:numPr>
        <w:tabs>
          <w:tab w:val="clear" w:pos="720"/>
          <w:tab w:val="left" w:pos="0" w:leader="none"/>
        </w:tabs>
        <w:jc w:val="both"/>
        <w:rPr>
          <w:rFonts w:ascii="Verdana" w:hAnsi="Verdana" w:eastAsia="Verdana" w:cs="Verdana"/>
          <w:sz w:val="18"/>
          <w:szCs w:val="18"/>
        </w:rPr>
      </w:pPr>
      <w:r>
        <w:rPr>
          <w:rFonts w:eastAsia="Verdana" w:cs="Verdana" w:ascii="Verdana" w:hAnsi="Verdana"/>
          <w:b/>
          <w:bCs/>
          <w:sz w:val="18"/>
          <w:szCs w:val="18"/>
        </w:rPr>
        <w:t>ANEXO III -</w:t>
      </w:r>
      <w:r>
        <w:rPr>
          <w:rFonts w:eastAsia="Verdana" w:cs="Verdana" w:ascii="Verdana" w:hAnsi="Verdana"/>
          <w:sz w:val="18"/>
          <w:szCs w:val="18"/>
        </w:rPr>
        <w:t xml:space="preserve"> Minuta de ata de registro de preços</w:t>
      </w:r>
    </w:p>
    <w:p>
      <w:pPr>
        <w:pStyle w:val="ListParagraph"/>
        <w:numPr>
          <w:ilvl w:val="0"/>
          <w:numId w:val="3"/>
        </w:numPr>
        <w:tabs>
          <w:tab w:val="clear" w:pos="720"/>
          <w:tab w:val="left" w:pos="0" w:leader="none"/>
        </w:tabs>
        <w:jc w:val="both"/>
        <w:rPr>
          <w:rFonts w:ascii="Verdana" w:hAnsi="Verdana" w:eastAsia="Verdana" w:cs="Verdana"/>
          <w:sz w:val="18"/>
          <w:szCs w:val="18"/>
        </w:rPr>
      </w:pPr>
      <w:r>
        <w:rPr>
          <w:rFonts w:eastAsia="Verdana" w:cs="Verdana" w:ascii="Verdana" w:hAnsi="Verdana"/>
          <w:b/>
          <w:sz w:val="18"/>
          <w:szCs w:val="18"/>
        </w:rPr>
        <w:t xml:space="preserve">ANEXO IV </w:t>
      </w:r>
      <w:r>
        <w:rPr>
          <w:rFonts w:eastAsia="Verdana" w:cs="Verdana" w:ascii="Verdana" w:hAnsi="Verdana"/>
          <w:sz w:val="18"/>
          <w:szCs w:val="18"/>
        </w:rPr>
        <w:t xml:space="preserve">- Minuta do Contrato  </w:t>
      </w:r>
    </w:p>
    <w:p>
      <w:pPr>
        <w:pStyle w:val="ListParagraph"/>
        <w:spacing w:lineRule="auto" w:line="276"/>
        <w:ind w:left="993" w:hanging="0"/>
        <w:jc w:val="both"/>
        <w:rPr>
          <w:rFonts w:ascii="Verdana" w:hAnsi="Verdana" w:eastAsia="Verdana" w:cs="Verdana"/>
          <w:sz w:val="18"/>
          <w:szCs w:val="18"/>
        </w:rPr>
      </w:pPr>
      <w:r>
        <w:rPr>
          <w:rFonts w:eastAsia="Verdana" w:cs="Verdana" w:ascii="Verdana" w:hAnsi="Verdana"/>
          <w:sz w:val="18"/>
          <w:szCs w:val="18"/>
        </w:rPr>
        <w:t>Adendo I do Contrato: Política do Banco (BID) sobre Práticas Proibidas</w:t>
      </w:r>
    </w:p>
    <w:p>
      <w:pPr>
        <w:pStyle w:val="ListParagraph"/>
        <w:spacing w:lineRule="auto" w:line="276"/>
        <w:ind w:left="993" w:hanging="0"/>
        <w:jc w:val="both"/>
        <w:rPr>
          <w:rFonts w:ascii="Verdana" w:hAnsi="Verdana" w:eastAsia="Verdana" w:cs="Verdana"/>
          <w:sz w:val="18"/>
          <w:szCs w:val="18"/>
        </w:rPr>
      </w:pPr>
      <w:r>
        <w:rPr>
          <w:rFonts w:eastAsia="Verdana" w:cs="Verdana" w:ascii="Verdana" w:hAnsi="Verdana"/>
          <w:sz w:val="18"/>
          <w:szCs w:val="18"/>
        </w:rPr>
        <w:t>Adendo II do Contrato: Países elegíveis</w:t>
      </w:r>
    </w:p>
    <w:p>
      <w:pPr>
        <w:pStyle w:val="Normal"/>
        <w:tabs>
          <w:tab w:val="clear" w:pos="720"/>
          <w:tab w:val="left" w:pos="0" w:leader="none"/>
        </w:tabs>
        <w:jc w:val="both"/>
        <w:rPr>
          <w:rFonts w:ascii="Verdana" w:hAnsi="Verdana" w:eastAsia="Verdana" w:cs="Verdana"/>
          <w:sz w:val="18"/>
          <w:szCs w:val="18"/>
        </w:rPr>
      </w:pPr>
      <w:r>
        <w:rPr>
          <w:rFonts w:eastAsia="Verdana" w:cs="Verdana" w:ascii="Verdana" w:hAnsi="Verdana"/>
          <w:sz w:val="18"/>
          <w:szCs w:val="18"/>
        </w:rPr>
      </w:r>
    </w:p>
    <w:p>
      <w:pPr>
        <w:pStyle w:val="Normal"/>
        <w:pBdr/>
        <w:shd w:val="clear" w:color="auto" w:fill="C0C0C0"/>
        <w:tabs>
          <w:tab w:val="clear" w:pos="720"/>
          <w:tab w:val="left" w:pos="1134" w:leader="none"/>
          <w:tab w:val="left" w:pos="2268" w:leader="none"/>
          <w:tab w:val="left" w:pos="3402" w:leader="none"/>
          <w:tab w:val="left" w:pos="4536" w:leader="none"/>
          <w:tab w:val="left" w:pos="5670" w:leader="none"/>
          <w:tab w:val="left" w:pos="6804" w:leader="none"/>
          <w:tab w:val="left" w:pos="7938" w:leader="none"/>
          <w:tab w:val="left" w:pos="9072" w:leader="none"/>
          <w:tab w:val="left" w:pos="10206" w:leader="none"/>
          <w:tab w:val="left" w:pos="11340" w:leader="none"/>
        </w:tabs>
        <w:jc w:val="both"/>
        <w:rPr>
          <w:rFonts w:ascii="Verdana" w:hAnsi="Verdana" w:eastAsia="Verdana" w:cs="Verdana"/>
          <w:b/>
          <w:b/>
          <w:sz w:val="18"/>
          <w:szCs w:val="18"/>
        </w:rPr>
      </w:pPr>
      <w:r>
        <w:rPr>
          <w:rFonts w:eastAsia="Verdana" w:cs="Verdana" w:ascii="Verdana" w:hAnsi="Verdana"/>
          <w:b/>
          <w:sz w:val="18"/>
          <w:szCs w:val="18"/>
        </w:rPr>
        <w:t>1 - DO OBJETO</w:t>
      </w:r>
    </w:p>
    <w:p>
      <w:pPr>
        <w:pStyle w:val="Normal"/>
        <w:pBdr/>
        <w:tabs>
          <w:tab w:val="clear" w:pos="720"/>
          <w:tab w:val="left" w:pos="1134" w:leader="none"/>
          <w:tab w:val="left" w:pos="2268" w:leader="none"/>
          <w:tab w:val="left" w:pos="3402" w:leader="none"/>
          <w:tab w:val="left" w:pos="4536" w:leader="none"/>
          <w:tab w:val="left" w:pos="5670" w:leader="none"/>
          <w:tab w:val="left" w:pos="6804" w:leader="none"/>
          <w:tab w:val="left" w:pos="7938" w:leader="none"/>
          <w:tab w:val="left" w:pos="9072" w:leader="none"/>
          <w:tab w:val="left" w:pos="10206" w:leader="none"/>
          <w:tab w:val="left" w:pos="11340" w:leader="none"/>
        </w:tabs>
        <w:jc w:val="both"/>
        <w:rPr>
          <w:rFonts w:ascii="Verdana" w:hAnsi="Verdana" w:eastAsia="Verdana" w:cs="Verdana"/>
          <w:b/>
          <w:b/>
          <w:sz w:val="18"/>
          <w:szCs w:val="18"/>
        </w:rPr>
      </w:pPr>
      <w:r>
        <w:rPr>
          <w:rFonts w:eastAsia="Verdana" w:cs="Verdana" w:ascii="Verdana" w:hAnsi="Verdana"/>
          <w:b/>
          <w:sz w:val="18"/>
          <w:szCs w:val="18"/>
        </w:rPr>
      </w:r>
    </w:p>
    <w:p>
      <w:pPr>
        <w:pStyle w:val="Normal"/>
        <w:jc w:val="both"/>
        <w:rPr>
          <w:rFonts w:ascii="Verdana" w:hAnsi="Verdana" w:eastAsia="Verdana" w:cs="Verdana"/>
        </w:rPr>
      </w:pPr>
      <w:r>
        <w:rPr>
          <w:rFonts w:eastAsia="Verdana" w:cs="Verdana" w:ascii="Verdana" w:hAnsi="Verdana"/>
          <w:b/>
          <w:sz w:val="18"/>
          <w:szCs w:val="18"/>
        </w:rPr>
        <w:t xml:space="preserve">1.1 - </w:t>
      </w:r>
      <w:r>
        <w:rPr>
          <w:rFonts w:eastAsia="Verdana" w:cs="Verdana" w:ascii="Verdana" w:hAnsi="Verdana"/>
          <w:sz w:val="18"/>
          <w:szCs w:val="18"/>
        </w:rPr>
        <w:t xml:space="preserve">A presente licitação tem por objeto a </w:t>
      </w:r>
      <w:r>
        <w:rPr>
          <w:rFonts w:eastAsia="Verdana" w:cs="Verdana" w:ascii="Verdana" w:hAnsi="Verdana"/>
          <w:b/>
          <w:sz w:val="18"/>
          <w:szCs w:val="18"/>
        </w:rPr>
        <w:t>contratação, por meio do SISTEMA DE REGISTRO DE PREÇOS</w:t>
      </w:r>
      <w:r>
        <w:rPr>
          <w:rFonts w:eastAsia="Verdana" w:cs="Verdana" w:ascii="Verdana" w:hAnsi="Verdana"/>
          <w:sz w:val="18"/>
          <w:szCs w:val="18"/>
        </w:rPr>
        <w:t xml:space="preserve"> para eventual fornecimento e instalação de persianas e películas nas unidades do Poder Judiciário do Estado do Espírito Santo</w:t>
      </w:r>
      <w:r>
        <w:rPr>
          <w:rFonts w:eastAsia="Verdana" w:cs="Verdana" w:ascii="Verdana" w:hAnsi="Verdana"/>
        </w:rPr>
        <w:t xml:space="preserve">, </w:t>
      </w:r>
      <w:r>
        <w:rPr>
          <w:rFonts w:eastAsia="Verdana" w:cs="Verdana" w:ascii="Verdana" w:hAnsi="Verdana"/>
          <w:sz w:val="18"/>
          <w:szCs w:val="18"/>
        </w:rPr>
        <w:t xml:space="preserve">conforme especificações constantes do Anexo I deste Edital. </w:t>
      </w:r>
    </w:p>
    <w:p>
      <w:pPr>
        <w:pStyle w:val="Normal"/>
        <w:jc w:val="both"/>
        <w:rPr>
          <w:rFonts w:ascii="Verdana" w:hAnsi="Verdana" w:eastAsia="Verdana" w:cs="Verdana"/>
          <w:b/>
          <w:b/>
        </w:rPr>
      </w:pPr>
      <w:r>
        <w:rPr>
          <w:rFonts w:eastAsia="Verdana" w:cs="Verdana" w:ascii="Verdana" w:hAnsi="Verdana"/>
          <w:b/>
        </w:rPr>
      </w:r>
    </w:p>
    <w:p>
      <w:pPr>
        <w:pStyle w:val="Normal"/>
        <w:jc w:val="both"/>
        <w:rPr>
          <w:rFonts w:ascii="Verdana" w:hAnsi="Verdana" w:eastAsia="Verdana" w:cs="Verdana"/>
          <w:b/>
          <w:b/>
        </w:rPr>
      </w:pPr>
      <w:r>
        <w:rPr>
          <w:rFonts w:eastAsia="Verdana" w:cs="Verdana" w:ascii="Verdana" w:hAnsi="Verdana"/>
          <w:b/>
        </w:rPr>
        <w:t>CATSER</w:t>
      </w:r>
      <w:r>
        <w:rPr>
          <w:rFonts w:eastAsia="Verdana" w:cs="Verdana" w:ascii="Verdana" w:hAnsi="Verdana"/>
          <w:b/>
          <w:sz w:val="18"/>
          <w:szCs w:val="18"/>
        </w:rPr>
        <w:t xml:space="preserve">: </w:t>
      </w:r>
      <w:r>
        <w:rPr>
          <w:rFonts w:eastAsia="Verdana" w:cs="Verdana" w:ascii="Verdana" w:hAnsi="Verdana"/>
          <w:b/>
        </w:rPr>
        <w:t>25321</w:t>
      </w:r>
    </w:p>
    <w:p>
      <w:pPr>
        <w:pStyle w:val="Normal"/>
        <w:jc w:val="both"/>
        <w:rPr>
          <w:rFonts w:ascii="Verdana" w:hAnsi="Verdana" w:eastAsia="Verdana" w:cs="Verdana"/>
        </w:rPr>
      </w:pPr>
      <w:r>
        <w:rPr>
          <w:rFonts w:eastAsia="Verdana" w:cs="Verdana" w:ascii="Verdana" w:hAnsi="Verdana"/>
        </w:rPr>
      </w:r>
    </w:p>
    <w:p>
      <w:pPr>
        <w:pStyle w:val="Normal"/>
        <w:pBdr/>
        <w:shd w:val="clear" w:color="auto" w:fill="C0C0C0"/>
        <w:tabs>
          <w:tab w:val="clear" w:pos="720"/>
          <w:tab w:val="left" w:pos="1134" w:leader="none"/>
          <w:tab w:val="left" w:pos="2268" w:leader="none"/>
          <w:tab w:val="left" w:pos="3402" w:leader="none"/>
          <w:tab w:val="left" w:pos="4536" w:leader="none"/>
          <w:tab w:val="left" w:pos="5670" w:leader="none"/>
          <w:tab w:val="left" w:pos="6804" w:leader="none"/>
          <w:tab w:val="left" w:pos="7938" w:leader="none"/>
          <w:tab w:val="left" w:pos="9072" w:leader="none"/>
          <w:tab w:val="left" w:pos="10206" w:leader="none"/>
          <w:tab w:val="left" w:pos="11340" w:leader="none"/>
        </w:tabs>
        <w:jc w:val="both"/>
        <w:rPr>
          <w:rFonts w:ascii="Verdana" w:hAnsi="Verdana" w:eastAsia="Verdana" w:cs="Verdana"/>
          <w:b/>
          <w:b/>
          <w:sz w:val="18"/>
          <w:szCs w:val="18"/>
        </w:rPr>
      </w:pPr>
      <w:r>
        <w:rPr>
          <w:rFonts w:eastAsia="Verdana" w:cs="Verdana" w:ascii="Verdana" w:hAnsi="Verdana"/>
          <w:b/>
          <w:sz w:val="18"/>
          <w:szCs w:val="18"/>
        </w:rPr>
        <w:t>2 - DA PARTICIPAÇÃO</w:t>
      </w:r>
    </w:p>
    <w:p>
      <w:pPr>
        <w:pStyle w:val="Normal"/>
        <w:jc w:val="both"/>
        <w:rPr>
          <w:rFonts w:ascii="Verdana" w:hAnsi="Verdana" w:eastAsia="Verdana" w:cs="Verdana"/>
          <w:sz w:val="18"/>
          <w:szCs w:val="18"/>
        </w:rPr>
      </w:pPr>
      <w:r>
        <w:rPr>
          <w:rFonts w:eastAsia="Verdana" w:cs="Verdana" w:ascii="Verdana" w:hAnsi="Verdana"/>
          <w:sz w:val="18"/>
          <w:szCs w:val="18"/>
        </w:rPr>
      </w:r>
    </w:p>
    <w:p>
      <w:pPr>
        <w:pStyle w:val="Normal"/>
        <w:jc w:val="both"/>
        <w:rPr>
          <w:rFonts w:ascii="Verdana" w:hAnsi="Verdana" w:eastAsia="Verdana" w:cs="Verdana"/>
          <w:sz w:val="18"/>
          <w:szCs w:val="18"/>
        </w:rPr>
      </w:pPr>
      <w:r>
        <w:rPr>
          <w:rFonts w:eastAsia="Verdana" w:cs="Verdana" w:ascii="Verdana" w:hAnsi="Verdana"/>
          <w:b/>
          <w:sz w:val="18"/>
          <w:szCs w:val="18"/>
        </w:rPr>
        <w:t>2.1 -</w:t>
      </w:r>
      <w:r>
        <w:rPr>
          <w:rFonts w:eastAsia="Verdana" w:cs="Verdana" w:ascii="Verdana" w:hAnsi="Verdana"/>
          <w:sz w:val="18"/>
          <w:szCs w:val="18"/>
        </w:rPr>
        <w:t xml:space="preserve"> Poderão participar deste Pregão as empresas interessadas, que estiverem previamente credenciados no Sistema de Cadastramento Unificado de Fornecedores - SICAF e no Sistema de Compras do Governo Federal (www.gov.br/compras), por meio de Certificado Digital conferido pela Infraestrutura de Chaves Públicas Brasileira – ICP – Brasil.</w:t>
      </w:r>
    </w:p>
    <w:p>
      <w:pPr>
        <w:pStyle w:val="Normal"/>
        <w:jc w:val="both"/>
        <w:rPr>
          <w:rFonts w:ascii="Verdana" w:hAnsi="Verdana" w:eastAsia="Verdana" w:cs="Verdana"/>
          <w:sz w:val="18"/>
          <w:szCs w:val="18"/>
        </w:rPr>
      </w:pPr>
      <w:r>
        <w:rPr>
          <w:rFonts w:eastAsia="Verdana" w:cs="Verdana" w:ascii="Verdana" w:hAnsi="Verdana"/>
          <w:sz w:val="18"/>
          <w:szCs w:val="18"/>
        </w:rPr>
      </w:r>
    </w:p>
    <w:p>
      <w:pPr>
        <w:pStyle w:val="Normal"/>
        <w:ind w:left="284" w:hanging="0"/>
        <w:jc w:val="both"/>
        <w:rPr>
          <w:rFonts w:ascii="Verdana" w:hAnsi="Verdana" w:eastAsia="Verdana" w:cs="Verdana"/>
          <w:sz w:val="18"/>
          <w:szCs w:val="18"/>
        </w:rPr>
      </w:pPr>
      <w:r>
        <w:rPr>
          <w:rFonts w:eastAsia="Verdana" w:cs="Verdana" w:ascii="Verdana" w:hAnsi="Verdana"/>
          <w:b/>
          <w:sz w:val="18"/>
          <w:szCs w:val="18"/>
        </w:rPr>
        <w:t>2.1.1 -</w:t>
      </w:r>
      <w:r>
        <w:rPr>
          <w:rFonts w:eastAsia="Verdana" w:cs="Verdana" w:ascii="Verdana" w:hAnsi="Verdana"/>
          <w:sz w:val="18"/>
          <w:szCs w:val="18"/>
        </w:rPr>
        <w:t xml:space="preserve"> Os interessados deverão atender às condições exigidas no cadastramento no SICAF até o terceiro dia útil anterior à data prevista para recebimento das propostas.</w:t>
      </w:r>
    </w:p>
    <w:p>
      <w:pPr>
        <w:pStyle w:val="Normal"/>
        <w:jc w:val="both"/>
        <w:rPr>
          <w:rFonts w:ascii="Verdana" w:hAnsi="Verdana" w:eastAsia="Verdana" w:cs="Verdana"/>
          <w:sz w:val="18"/>
          <w:szCs w:val="18"/>
        </w:rPr>
      </w:pPr>
      <w:r>
        <w:rPr>
          <w:rFonts w:eastAsia="Verdana" w:cs="Verdana" w:ascii="Verdana" w:hAnsi="Verdana"/>
          <w:sz w:val="18"/>
          <w:szCs w:val="18"/>
        </w:rPr>
      </w:r>
    </w:p>
    <w:p>
      <w:pPr>
        <w:pStyle w:val="Normal"/>
        <w:jc w:val="both"/>
        <w:rPr>
          <w:rFonts w:ascii="Verdana" w:hAnsi="Verdana" w:eastAsia="Verdana" w:cs="Verdana"/>
          <w:sz w:val="18"/>
          <w:szCs w:val="18"/>
        </w:rPr>
      </w:pPr>
      <w:r>
        <w:rPr>
          <w:rFonts w:eastAsia="Verdana" w:cs="Verdana" w:ascii="Verdana" w:hAnsi="Verdana"/>
          <w:b/>
          <w:sz w:val="18"/>
          <w:szCs w:val="18"/>
        </w:rPr>
        <w:t>2.2 -</w:t>
      </w:r>
      <w:r>
        <w:rPr>
          <w:rFonts w:eastAsia="Verdana" w:cs="Verdana" w:ascii="Verdana" w:hAnsi="Verdana"/>
          <w:sz w:val="18"/>
          <w:szCs w:val="18"/>
        </w:rPr>
        <w:t xml:space="preserve"> 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pPr>
        <w:pStyle w:val="Normal"/>
        <w:jc w:val="both"/>
        <w:rPr>
          <w:rFonts w:ascii="Verdana" w:hAnsi="Verdana" w:eastAsia="Verdana" w:cs="Verdana"/>
          <w:sz w:val="18"/>
          <w:szCs w:val="18"/>
        </w:rPr>
      </w:pPr>
      <w:r>
        <w:rPr>
          <w:rFonts w:eastAsia="Verdana" w:cs="Verdana" w:ascii="Verdana" w:hAnsi="Verdana"/>
          <w:sz w:val="18"/>
          <w:szCs w:val="18"/>
        </w:rPr>
      </w:r>
    </w:p>
    <w:p>
      <w:pPr>
        <w:pStyle w:val="Normal"/>
        <w:jc w:val="both"/>
        <w:rPr>
          <w:rFonts w:ascii="Verdana" w:hAnsi="Verdana" w:eastAsia="Verdana" w:cs="Verdana"/>
          <w:sz w:val="18"/>
          <w:szCs w:val="18"/>
        </w:rPr>
      </w:pPr>
      <w:r>
        <w:rPr>
          <w:rFonts w:eastAsia="Verdana" w:cs="Verdana" w:ascii="Verdana" w:hAnsi="Verdana"/>
          <w:b/>
          <w:sz w:val="18"/>
          <w:szCs w:val="18"/>
        </w:rPr>
        <w:t>2.3 -</w:t>
      </w:r>
      <w:r>
        <w:rPr>
          <w:rFonts w:eastAsia="Verdana" w:cs="Verdana" w:ascii="Verdana" w:hAnsi="Verdana"/>
          <w:sz w:val="18"/>
          <w:szCs w:val="18"/>
        </w:rPr>
        <w:t xml:space="preserve"> 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pPr>
        <w:pStyle w:val="Normal"/>
        <w:jc w:val="both"/>
        <w:rPr>
          <w:rFonts w:ascii="Verdana" w:hAnsi="Verdana" w:eastAsia="Verdana" w:cs="Verdana"/>
          <w:sz w:val="18"/>
          <w:szCs w:val="18"/>
        </w:rPr>
      </w:pPr>
      <w:r>
        <w:rPr>
          <w:rFonts w:eastAsia="Verdana" w:cs="Verdana" w:ascii="Verdana" w:hAnsi="Verdana"/>
          <w:sz w:val="18"/>
          <w:szCs w:val="18"/>
        </w:rPr>
      </w:r>
    </w:p>
    <w:p>
      <w:pPr>
        <w:pStyle w:val="Normal"/>
        <w:jc w:val="both"/>
        <w:rPr>
          <w:rFonts w:ascii="Verdana" w:hAnsi="Verdana" w:eastAsia="Verdana" w:cs="Verdana"/>
          <w:sz w:val="18"/>
          <w:szCs w:val="18"/>
        </w:rPr>
      </w:pPr>
      <w:r>
        <w:rPr>
          <w:rFonts w:eastAsia="Verdana" w:cs="Verdana" w:ascii="Verdana" w:hAnsi="Verdana"/>
          <w:b/>
          <w:sz w:val="18"/>
          <w:szCs w:val="18"/>
        </w:rPr>
        <w:t>2.4 -</w:t>
      </w:r>
      <w:r>
        <w:rPr>
          <w:rFonts w:eastAsia="Verdana" w:cs="Verdana" w:ascii="Verdana" w:hAnsi="Verdana"/>
          <w:sz w:val="18"/>
          <w:szCs w:val="18"/>
        </w:rPr>
        <w:t xml:space="preserve"> A não observância do disposto no item anterior poderá ensejar desclassificação no momento da habilitação.</w:t>
      </w:r>
    </w:p>
    <w:p>
      <w:pPr>
        <w:pStyle w:val="Normal"/>
        <w:tabs>
          <w:tab w:val="clear" w:pos="720"/>
          <w:tab w:val="left" w:pos="-2127" w:leader="none"/>
          <w:tab w:val="left" w:pos="-1985" w:leader="none"/>
          <w:tab w:val="left" w:pos="1134" w:leader="none"/>
        </w:tabs>
        <w:jc w:val="both"/>
        <w:rPr>
          <w:rFonts w:ascii="Verdana" w:hAnsi="Verdana" w:eastAsia="Verdana" w:cs="Verdana"/>
          <w:sz w:val="18"/>
          <w:szCs w:val="18"/>
        </w:rPr>
      </w:pPr>
      <w:r>
        <w:rPr>
          <w:rFonts w:eastAsia="Verdana" w:cs="Verdana" w:ascii="Verdana" w:hAnsi="Verdana"/>
          <w:sz w:val="18"/>
          <w:szCs w:val="18"/>
        </w:rPr>
      </w:r>
    </w:p>
    <w:p>
      <w:pPr>
        <w:pStyle w:val="Normal"/>
        <w:jc w:val="both"/>
        <w:rPr>
          <w:rFonts w:ascii="Verdana" w:hAnsi="Verdana" w:eastAsia="Verdana" w:cs="Verdana"/>
          <w:sz w:val="18"/>
          <w:szCs w:val="18"/>
        </w:rPr>
      </w:pPr>
      <w:r>
        <w:rPr>
          <w:rFonts w:eastAsia="Verdana" w:cs="Verdana" w:ascii="Verdana" w:hAnsi="Verdana"/>
          <w:b/>
          <w:sz w:val="18"/>
          <w:szCs w:val="18"/>
        </w:rPr>
        <w:t xml:space="preserve">2.5 </w:t>
      </w:r>
      <w:r>
        <w:rPr>
          <w:rFonts w:eastAsia="Verdana" w:cs="Verdana" w:ascii="Verdana" w:hAnsi="Verdana"/>
          <w:sz w:val="18"/>
          <w:szCs w:val="18"/>
        </w:rPr>
        <w:t>- Não poderão disputar esta licitação:</w:t>
      </w:r>
    </w:p>
    <w:p>
      <w:pPr>
        <w:pStyle w:val="Normal"/>
        <w:jc w:val="both"/>
        <w:rPr>
          <w:rFonts w:ascii="Verdana" w:hAnsi="Verdana" w:eastAsia="Verdana" w:cs="Verdana"/>
          <w:b/>
          <w:b/>
          <w:sz w:val="18"/>
          <w:szCs w:val="18"/>
        </w:rPr>
      </w:pPr>
      <w:r>
        <w:rPr>
          <w:rFonts w:eastAsia="Verdana" w:cs="Verdana" w:ascii="Verdana" w:hAnsi="Verdana"/>
          <w:b/>
          <w:sz w:val="18"/>
          <w:szCs w:val="18"/>
        </w:rPr>
      </w:r>
    </w:p>
    <w:p>
      <w:pPr>
        <w:pStyle w:val="Normal"/>
        <w:ind w:left="284" w:hanging="0"/>
        <w:jc w:val="both"/>
        <w:rPr>
          <w:rFonts w:ascii="Verdana" w:hAnsi="Verdana" w:eastAsia="Verdana" w:cs="Verdana"/>
          <w:sz w:val="18"/>
          <w:szCs w:val="18"/>
        </w:rPr>
      </w:pPr>
      <w:r>
        <w:rPr>
          <w:rFonts w:eastAsia="Verdana" w:cs="Verdana" w:ascii="Verdana" w:hAnsi="Verdana"/>
          <w:b/>
          <w:sz w:val="18"/>
          <w:szCs w:val="18"/>
        </w:rPr>
        <w:t xml:space="preserve">2.5.1 - </w:t>
      </w:r>
      <w:r>
        <w:rPr>
          <w:rFonts w:eastAsia="Verdana" w:cs="Verdana" w:ascii="Verdana" w:hAnsi="Verdana"/>
          <w:sz w:val="18"/>
          <w:szCs w:val="18"/>
        </w:rPr>
        <w:t>aquele que não atenda às condições deste Edital e seus anexos;</w:t>
      </w:r>
    </w:p>
    <w:p>
      <w:pPr>
        <w:pStyle w:val="Normal"/>
        <w:ind w:left="284" w:hanging="0"/>
        <w:jc w:val="both"/>
        <w:rPr>
          <w:rFonts w:ascii="Verdana" w:hAnsi="Verdana" w:eastAsia="Verdana" w:cs="Verdana"/>
          <w:b/>
          <w:b/>
          <w:sz w:val="18"/>
          <w:szCs w:val="18"/>
        </w:rPr>
      </w:pPr>
      <w:r>
        <w:rPr>
          <w:rFonts w:eastAsia="Verdana" w:cs="Verdana" w:ascii="Verdana" w:hAnsi="Verdana"/>
          <w:b/>
          <w:sz w:val="18"/>
          <w:szCs w:val="18"/>
        </w:rPr>
      </w:r>
    </w:p>
    <w:p>
      <w:pPr>
        <w:pStyle w:val="Normal"/>
        <w:ind w:left="284" w:hanging="0"/>
        <w:jc w:val="both"/>
        <w:rPr>
          <w:rFonts w:ascii="Verdana" w:hAnsi="Verdana" w:eastAsia="Verdana" w:cs="Verdana"/>
          <w:sz w:val="18"/>
          <w:szCs w:val="18"/>
        </w:rPr>
      </w:pPr>
      <w:r>
        <w:rPr>
          <w:rFonts w:eastAsia="Verdana" w:cs="Verdana" w:ascii="Verdana" w:hAnsi="Verdana"/>
          <w:b/>
          <w:sz w:val="18"/>
          <w:szCs w:val="18"/>
        </w:rPr>
        <w:t xml:space="preserve">2.5.2 - </w:t>
      </w:r>
      <w:r>
        <w:rPr>
          <w:rFonts w:eastAsia="Verdana" w:cs="Verdana" w:ascii="Verdana" w:hAnsi="Verdana"/>
          <w:sz w:val="18"/>
          <w:szCs w:val="18"/>
        </w:rPr>
        <w:t>autor do anteprojeto, do projeto básico ou do projeto executivo, pessoa física ou jurídica, quando a licitação versar sobre serviços ou fornecimento de bens a ele relacionados;</w:t>
      </w:r>
    </w:p>
    <w:p>
      <w:pPr>
        <w:pStyle w:val="Normal"/>
        <w:ind w:left="284" w:hanging="0"/>
        <w:jc w:val="both"/>
        <w:rPr>
          <w:rFonts w:ascii="Verdana" w:hAnsi="Verdana" w:eastAsia="Verdana" w:cs="Verdana"/>
          <w:b/>
          <w:b/>
          <w:sz w:val="18"/>
          <w:szCs w:val="18"/>
        </w:rPr>
      </w:pPr>
      <w:r>
        <w:rPr>
          <w:rFonts w:eastAsia="Verdana" w:cs="Verdana" w:ascii="Verdana" w:hAnsi="Verdana"/>
          <w:b/>
          <w:sz w:val="18"/>
          <w:szCs w:val="18"/>
        </w:rPr>
      </w:r>
    </w:p>
    <w:p>
      <w:pPr>
        <w:pStyle w:val="Normal"/>
        <w:ind w:left="284" w:hanging="0"/>
        <w:jc w:val="both"/>
        <w:rPr>
          <w:rFonts w:ascii="Verdana" w:hAnsi="Verdana" w:eastAsia="Verdana" w:cs="Verdana"/>
          <w:sz w:val="18"/>
          <w:szCs w:val="18"/>
        </w:rPr>
      </w:pPr>
      <w:r>
        <w:rPr>
          <w:rFonts w:eastAsia="Verdana" w:cs="Verdana" w:ascii="Verdana" w:hAnsi="Verdana"/>
          <w:b/>
          <w:sz w:val="18"/>
          <w:szCs w:val="18"/>
        </w:rPr>
        <w:t xml:space="preserve">2.5.3 - </w:t>
      </w:r>
      <w:r>
        <w:rPr>
          <w:rFonts w:eastAsia="Verdana" w:cs="Verdana" w:ascii="Verdana" w:hAnsi="Verdana"/>
          <w:sz w:val="18"/>
          <w:szCs w:val="18"/>
        </w:rPr>
        <w:t xml:space="preserve">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 </w:t>
      </w:r>
    </w:p>
    <w:p>
      <w:pPr>
        <w:pStyle w:val="Normal"/>
        <w:ind w:left="284" w:hanging="0"/>
        <w:jc w:val="both"/>
        <w:rPr>
          <w:rFonts w:ascii="Verdana" w:hAnsi="Verdana" w:eastAsia="Verdana" w:cs="Verdana"/>
          <w:b/>
          <w:b/>
          <w:sz w:val="18"/>
          <w:szCs w:val="18"/>
        </w:rPr>
      </w:pPr>
      <w:r>
        <w:rPr>
          <w:rFonts w:eastAsia="Verdana" w:cs="Verdana" w:ascii="Verdana" w:hAnsi="Verdana"/>
          <w:b/>
          <w:sz w:val="18"/>
          <w:szCs w:val="18"/>
        </w:rPr>
      </w:r>
    </w:p>
    <w:p>
      <w:pPr>
        <w:pStyle w:val="Normal"/>
        <w:ind w:left="284" w:hanging="0"/>
        <w:jc w:val="both"/>
        <w:rPr>
          <w:rFonts w:ascii="Verdana" w:hAnsi="Verdana" w:eastAsia="Verdana" w:cs="Verdana"/>
          <w:sz w:val="18"/>
          <w:szCs w:val="18"/>
        </w:rPr>
      </w:pPr>
      <w:r>
        <w:rPr>
          <w:rFonts w:eastAsia="Verdana" w:cs="Verdana" w:ascii="Verdana" w:hAnsi="Verdana"/>
          <w:b/>
          <w:sz w:val="18"/>
          <w:szCs w:val="18"/>
        </w:rPr>
        <w:t xml:space="preserve">2.5.4 - </w:t>
      </w:r>
      <w:r>
        <w:rPr>
          <w:rFonts w:eastAsia="Verdana" w:cs="Verdana" w:ascii="Verdana" w:hAnsi="Verdana"/>
          <w:sz w:val="18"/>
          <w:szCs w:val="18"/>
        </w:rPr>
        <w:t>pessoa física ou jurídica que se encontre, ao tempo da licitação, impossibilitada de participar da licitação em decorrência de sanção que lhe foi imposta;</w:t>
      </w:r>
    </w:p>
    <w:p>
      <w:pPr>
        <w:pStyle w:val="Normal"/>
        <w:ind w:left="284" w:hanging="0"/>
        <w:jc w:val="both"/>
        <w:rPr>
          <w:rFonts w:ascii="Verdana" w:hAnsi="Verdana" w:eastAsia="Verdana" w:cs="Verdana"/>
          <w:b/>
          <w:b/>
          <w:sz w:val="18"/>
          <w:szCs w:val="18"/>
        </w:rPr>
      </w:pPr>
      <w:r>
        <w:rPr>
          <w:rFonts w:eastAsia="Verdana" w:cs="Verdana" w:ascii="Verdana" w:hAnsi="Verdana"/>
          <w:b/>
          <w:sz w:val="18"/>
          <w:szCs w:val="18"/>
        </w:rPr>
      </w:r>
    </w:p>
    <w:p>
      <w:pPr>
        <w:pStyle w:val="Normal"/>
        <w:ind w:left="284" w:hanging="0"/>
        <w:jc w:val="both"/>
        <w:rPr>
          <w:rFonts w:ascii="Verdana" w:hAnsi="Verdana" w:eastAsia="Verdana" w:cs="Verdana"/>
          <w:sz w:val="18"/>
          <w:szCs w:val="18"/>
        </w:rPr>
      </w:pPr>
      <w:r>
        <w:rPr>
          <w:rFonts w:eastAsia="Verdana" w:cs="Verdana" w:ascii="Verdana" w:hAnsi="Verdana"/>
          <w:b/>
          <w:sz w:val="18"/>
          <w:szCs w:val="18"/>
        </w:rPr>
        <w:t xml:space="preserve">2.5.5 - </w:t>
      </w:r>
      <w:r>
        <w:rPr>
          <w:rFonts w:eastAsia="Verdana" w:cs="Verdana" w:ascii="Verdana" w:hAnsi="Verdana"/>
          <w:sz w:val="18"/>
          <w:szCs w:val="18"/>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pPr>
        <w:pStyle w:val="Normal"/>
        <w:ind w:left="284" w:hanging="0"/>
        <w:jc w:val="both"/>
        <w:rPr>
          <w:rFonts w:ascii="Verdana" w:hAnsi="Verdana" w:eastAsia="Verdana" w:cs="Verdana"/>
          <w:b/>
          <w:b/>
          <w:sz w:val="18"/>
          <w:szCs w:val="18"/>
        </w:rPr>
      </w:pPr>
      <w:r>
        <w:rPr>
          <w:rFonts w:eastAsia="Verdana" w:cs="Verdana" w:ascii="Verdana" w:hAnsi="Verdana"/>
          <w:b/>
          <w:sz w:val="18"/>
          <w:szCs w:val="18"/>
        </w:rPr>
      </w:r>
    </w:p>
    <w:p>
      <w:pPr>
        <w:pStyle w:val="Normal"/>
        <w:ind w:left="284" w:hanging="0"/>
        <w:jc w:val="both"/>
        <w:rPr>
          <w:rFonts w:ascii="Verdana" w:hAnsi="Verdana" w:eastAsia="Verdana" w:cs="Verdana"/>
          <w:sz w:val="18"/>
          <w:szCs w:val="18"/>
        </w:rPr>
      </w:pPr>
      <w:r>
        <w:rPr>
          <w:rFonts w:eastAsia="Verdana" w:cs="Verdana" w:ascii="Verdana" w:hAnsi="Verdana"/>
          <w:b/>
          <w:sz w:val="18"/>
          <w:szCs w:val="18"/>
        </w:rPr>
        <w:t xml:space="preserve">2.5.6 - </w:t>
      </w:r>
      <w:r>
        <w:rPr>
          <w:rFonts w:eastAsia="Verdana" w:cs="Verdana" w:ascii="Verdana" w:hAnsi="Verdana"/>
          <w:sz w:val="18"/>
          <w:szCs w:val="18"/>
        </w:rPr>
        <w:t>empresas controladoras, controladas ou coligadas, nos termos da Lei nº 6.404, de 15 de dezembro de 1976, concorrendo entre si;</w:t>
      </w:r>
    </w:p>
    <w:p>
      <w:pPr>
        <w:pStyle w:val="Normal"/>
        <w:ind w:left="284" w:hanging="0"/>
        <w:jc w:val="both"/>
        <w:rPr>
          <w:rFonts w:ascii="Verdana" w:hAnsi="Verdana" w:eastAsia="Verdana" w:cs="Verdana"/>
          <w:b/>
          <w:b/>
          <w:sz w:val="18"/>
          <w:szCs w:val="18"/>
        </w:rPr>
      </w:pPr>
      <w:r>
        <w:rPr>
          <w:rFonts w:eastAsia="Verdana" w:cs="Verdana" w:ascii="Verdana" w:hAnsi="Verdana"/>
          <w:b/>
          <w:sz w:val="18"/>
          <w:szCs w:val="18"/>
        </w:rPr>
      </w:r>
    </w:p>
    <w:p>
      <w:pPr>
        <w:pStyle w:val="Normal"/>
        <w:ind w:left="284" w:hanging="0"/>
        <w:jc w:val="both"/>
        <w:rPr>
          <w:rFonts w:ascii="Verdana" w:hAnsi="Verdana" w:eastAsia="Verdana" w:cs="Verdana"/>
          <w:sz w:val="18"/>
          <w:szCs w:val="18"/>
        </w:rPr>
      </w:pPr>
      <w:r>
        <w:rPr>
          <w:rFonts w:eastAsia="Verdana" w:cs="Verdana" w:ascii="Verdana" w:hAnsi="Verdana"/>
          <w:b/>
          <w:sz w:val="18"/>
          <w:szCs w:val="18"/>
        </w:rPr>
        <w:t xml:space="preserve">2.5.7 - </w:t>
      </w:r>
      <w:r>
        <w:rPr>
          <w:rFonts w:eastAsia="Verdana" w:cs="Verdana" w:ascii="Verdana" w:hAnsi="Verdana"/>
          <w:sz w:val="18"/>
          <w:szCs w:val="18"/>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pPr>
        <w:pStyle w:val="Normal"/>
        <w:ind w:left="284" w:hanging="0"/>
        <w:jc w:val="both"/>
        <w:rPr>
          <w:rFonts w:ascii="Verdana" w:hAnsi="Verdana" w:eastAsia="Verdana" w:cs="Verdana"/>
          <w:b/>
          <w:b/>
          <w:sz w:val="18"/>
          <w:szCs w:val="18"/>
        </w:rPr>
      </w:pPr>
      <w:r>
        <w:rPr>
          <w:rFonts w:eastAsia="Verdana" w:cs="Verdana" w:ascii="Verdana" w:hAnsi="Verdana"/>
          <w:b/>
          <w:sz w:val="18"/>
          <w:szCs w:val="18"/>
        </w:rPr>
      </w:r>
    </w:p>
    <w:p>
      <w:pPr>
        <w:pStyle w:val="Normal"/>
        <w:ind w:left="284" w:hanging="0"/>
        <w:jc w:val="both"/>
        <w:rPr>
          <w:rFonts w:ascii="Verdana" w:hAnsi="Verdana" w:eastAsia="Verdana" w:cs="Verdana"/>
          <w:sz w:val="18"/>
          <w:szCs w:val="18"/>
        </w:rPr>
      </w:pPr>
      <w:r>
        <w:rPr>
          <w:rFonts w:eastAsia="Verdana" w:cs="Verdana" w:ascii="Verdana" w:hAnsi="Verdana"/>
          <w:b/>
          <w:sz w:val="18"/>
          <w:szCs w:val="18"/>
        </w:rPr>
        <w:t xml:space="preserve">2.5.8 - </w:t>
      </w:r>
      <w:r>
        <w:rPr>
          <w:rFonts w:eastAsia="Verdana" w:cs="Verdana" w:ascii="Verdana" w:hAnsi="Verdana"/>
          <w:sz w:val="18"/>
          <w:szCs w:val="18"/>
        </w:rPr>
        <w:t>agente público do órgão ou entidade licitante;</w:t>
      </w:r>
    </w:p>
    <w:p>
      <w:pPr>
        <w:pStyle w:val="Normal"/>
        <w:ind w:left="284" w:hanging="0"/>
        <w:jc w:val="both"/>
        <w:rPr>
          <w:rFonts w:ascii="Verdana" w:hAnsi="Verdana" w:eastAsia="Verdana" w:cs="Verdana"/>
          <w:b/>
          <w:b/>
          <w:sz w:val="18"/>
          <w:szCs w:val="18"/>
        </w:rPr>
      </w:pPr>
      <w:r>
        <w:rPr>
          <w:rFonts w:eastAsia="Verdana" w:cs="Verdana" w:ascii="Verdana" w:hAnsi="Verdana"/>
          <w:b/>
          <w:sz w:val="18"/>
          <w:szCs w:val="18"/>
        </w:rPr>
      </w:r>
    </w:p>
    <w:p>
      <w:pPr>
        <w:pStyle w:val="Normal"/>
        <w:ind w:left="284" w:hanging="0"/>
        <w:jc w:val="both"/>
        <w:rPr>
          <w:rFonts w:ascii="Verdana" w:hAnsi="Verdana" w:eastAsia="Verdana" w:cs="Verdana"/>
          <w:sz w:val="18"/>
          <w:szCs w:val="18"/>
        </w:rPr>
      </w:pPr>
      <w:r>
        <w:rPr>
          <w:rFonts w:eastAsia="Verdana" w:cs="Verdana" w:ascii="Verdana" w:hAnsi="Verdana"/>
          <w:b/>
          <w:sz w:val="18"/>
          <w:szCs w:val="18"/>
        </w:rPr>
        <w:t xml:space="preserve">2.5.9 - </w:t>
      </w:r>
      <w:r>
        <w:rPr>
          <w:rFonts w:eastAsia="Verdana" w:cs="Verdana" w:ascii="Verdana" w:hAnsi="Verdana"/>
          <w:sz w:val="18"/>
          <w:szCs w:val="18"/>
        </w:rPr>
        <w:t>pessoas jurídicas reunidas em consórcio, tendo em vista a baixa complexidade do objeto a ser contratado;</w:t>
      </w:r>
    </w:p>
    <w:p>
      <w:pPr>
        <w:pStyle w:val="Normal"/>
        <w:ind w:left="284" w:hanging="0"/>
        <w:jc w:val="both"/>
        <w:rPr>
          <w:rFonts w:ascii="Verdana" w:hAnsi="Verdana" w:eastAsia="Verdana" w:cs="Verdana"/>
          <w:b/>
          <w:b/>
          <w:sz w:val="18"/>
          <w:szCs w:val="18"/>
        </w:rPr>
      </w:pPr>
      <w:r>
        <w:rPr>
          <w:rFonts w:eastAsia="Verdana" w:cs="Verdana" w:ascii="Verdana" w:hAnsi="Verdana"/>
          <w:b/>
          <w:sz w:val="18"/>
          <w:szCs w:val="18"/>
        </w:rPr>
      </w:r>
    </w:p>
    <w:p>
      <w:pPr>
        <w:pStyle w:val="Normal"/>
        <w:ind w:left="284" w:hanging="0"/>
        <w:jc w:val="both"/>
        <w:rPr>
          <w:rFonts w:ascii="Verdana" w:hAnsi="Verdana" w:eastAsia="Verdana" w:cs="Verdana"/>
          <w:sz w:val="18"/>
          <w:szCs w:val="18"/>
        </w:rPr>
      </w:pPr>
      <w:r>
        <w:rPr>
          <w:rFonts w:eastAsia="Verdana" w:cs="Verdana" w:ascii="Verdana" w:hAnsi="Verdana"/>
          <w:b/>
          <w:sz w:val="18"/>
          <w:szCs w:val="18"/>
        </w:rPr>
        <w:t xml:space="preserve">2.5.10 - </w:t>
      </w:r>
      <w:r>
        <w:rPr>
          <w:rFonts w:eastAsia="Verdana" w:cs="Verdana" w:ascii="Verdana" w:hAnsi="Verdana"/>
          <w:sz w:val="18"/>
          <w:szCs w:val="18"/>
        </w:rPr>
        <w:t>Organizações da Sociedade Civil de Interesse Público - OSCIP, atuando nessa condição;</w:t>
      </w:r>
    </w:p>
    <w:p>
      <w:pPr>
        <w:pStyle w:val="Normal"/>
        <w:ind w:left="284" w:hanging="0"/>
        <w:jc w:val="both"/>
        <w:rPr>
          <w:rFonts w:ascii="Verdana" w:hAnsi="Verdana" w:eastAsia="Verdana" w:cs="Verdana"/>
          <w:b/>
          <w:b/>
          <w:sz w:val="18"/>
          <w:szCs w:val="18"/>
        </w:rPr>
      </w:pPr>
      <w:r>
        <w:rPr>
          <w:rFonts w:eastAsia="Verdana" w:cs="Verdana" w:ascii="Verdana" w:hAnsi="Verdana"/>
          <w:b/>
          <w:sz w:val="18"/>
          <w:szCs w:val="18"/>
        </w:rPr>
      </w:r>
    </w:p>
    <w:p>
      <w:pPr>
        <w:pStyle w:val="Normal"/>
        <w:ind w:left="284" w:hanging="0"/>
        <w:jc w:val="both"/>
        <w:rPr>
          <w:rFonts w:ascii="Verdana" w:hAnsi="Verdana" w:eastAsia="Verdana" w:cs="Verdana"/>
          <w:sz w:val="18"/>
          <w:szCs w:val="18"/>
        </w:rPr>
      </w:pPr>
      <w:r>
        <w:rPr>
          <w:rFonts w:eastAsia="Verdana" w:cs="Verdana" w:ascii="Verdana" w:hAnsi="Verdana"/>
          <w:b/>
          <w:sz w:val="18"/>
          <w:szCs w:val="18"/>
        </w:rPr>
        <w:t xml:space="preserve">2.5.11 - </w:t>
      </w:r>
      <w:r>
        <w:rPr>
          <w:rFonts w:eastAsia="Verdana" w:cs="Verdana" w:ascii="Verdana" w:hAnsi="Verdana"/>
          <w:sz w:val="18"/>
          <w:szCs w:val="18"/>
        </w:rPr>
        <w:t>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 1º do art. 9º da Lei n.º 14.133, de 2021.</w:t>
      </w:r>
    </w:p>
    <w:p>
      <w:pPr>
        <w:pStyle w:val="Normal"/>
        <w:ind w:left="284" w:hanging="0"/>
        <w:jc w:val="both"/>
        <w:rPr>
          <w:rFonts w:ascii="Verdana" w:hAnsi="Verdana" w:eastAsia="Verdana" w:cs="Verdana"/>
          <w:b/>
          <w:b/>
          <w:sz w:val="18"/>
          <w:szCs w:val="18"/>
        </w:rPr>
      </w:pPr>
      <w:r>
        <w:rPr>
          <w:rFonts w:eastAsia="Verdana" w:cs="Verdana" w:ascii="Verdana" w:hAnsi="Verdana"/>
          <w:b/>
          <w:sz w:val="18"/>
          <w:szCs w:val="18"/>
        </w:rPr>
      </w:r>
    </w:p>
    <w:p>
      <w:pPr>
        <w:pStyle w:val="Normal"/>
        <w:ind w:left="284" w:hanging="0"/>
        <w:jc w:val="both"/>
        <w:rPr>
          <w:rFonts w:ascii="Verdana" w:hAnsi="Verdana" w:eastAsia="Verdana" w:cs="Verdana"/>
          <w:sz w:val="18"/>
          <w:szCs w:val="18"/>
        </w:rPr>
      </w:pPr>
      <w:r>
        <w:rPr>
          <w:rFonts w:eastAsia="Verdana" w:cs="Verdana" w:ascii="Verdana" w:hAnsi="Verdana"/>
          <w:b/>
          <w:sz w:val="18"/>
          <w:szCs w:val="18"/>
        </w:rPr>
        <w:t xml:space="preserve">2.5.12 - </w:t>
      </w:r>
      <w:r>
        <w:rPr>
          <w:rFonts w:eastAsia="Verdana" w:cs="Verdana" w:ascii="Verdana" w:hAnsi="Verdana"/>
          <w:sz w:val="18"/>
          <w:szCs w:val="18"/>
        </w:rPr>
        <w:t xml:space="preserve"> Empresas que se encontrem sob falência, em recuperação judicial (Lei nº 11.101), concurso de credores, liquidação ou dissolução;</w:t>
      </w:r>
    </w:p>
    <w:p>
      <w:pPr>
        <w:pStyle w:val="Normal"/>
        <w:ind w:left="567" w:hanging="0"/>
        <w:jc w:val="both"/>
        <w:rPr>
          <w:rFonts w:ascii="Verdana" w:hAnsi="Verdana" w:eastAsia="Verdana" w:cs="Verdana"/>
          <w:strike/>
          <w:sz w:val="18"/>
          <w:szCs w:val="18"/>
        </w:rPr>
      </w:pPr>
      <w:r>
        <w:rPr>
          <w:rFonts w:eastAsia="Verdana" w:cs="Verdana" w:ascii="Verdana" w:hAnsi="Verdana"/>
          <w:b/>
          <w:sz w:val="18"/>
          <w:szCs w:val="18"/>
        </w:rPr>
        <w:t xml:space="preserve">2.5.12.1 -  </w:t>
      </w:r>
      <w:r>
        <w:rPr>
          <w:rFonts w:eastAsia="Verdana" w:cs="Verdana" w:ascii="Verdana" w:hAnsi="Verdana"/>
          <w:sz w:val="18"/>
          <w:szCs w:val="18"/>
        </w:rPr>
        <w:t>Será aceita a participação de empresa em recuperação judicial, desde que amparada em certidão emitida pela instância judicial competente, que certifique que a interessada está apta econômica e financeiramente a participar de procedimento licitatório.</w:t>
      </w:r>
    </w:p>
    <w:p>
      <w:pPr>
        <w:pStyle w:val="Normal"/>
        <w:ind w:left="284" w:hanging="0"/>
        <w:jc w:val="both"/>
        <w:rPr>
          <w:rFonts w:ascii="Verdana" w:hAnsi="Verdana" w:eastAsia="Verdana" w:cs="Verdana"/>
          <w:b/>
          <w:b/>
          <w:sz w:val="18"/>
          <w:szCs w:val="18"/>
        </w:rPr>
      </w:pPr>
      <w:r>
        <w:rPr>
          <w:rFonts w:eastAsia="Verdana" w:cs="Verdana" w:ascii="Verdana" w:hAnsi="Verdana"/>
          <w:b/>
          <w:sz w:val="18"/>
          <w:szCs w:val="18"/>
        </w:rPr>
      </w:r>
    </w:p>
    <w:p>
      <w:pPr>
        <w:pStyle w:val="Normal"/>
        <w:ind w:left="284" w:hanging="0"/>
        <w:jc w:val="both"/>
        <w:rPr>
          <w:rFonts w:ascii="Verdana" w:hAnsi="Verdana" w:eastAsia="Verdana" w:cs="Verdana"/>
          <w:sz w:val="18"/>
          <w:szCs w:val="18"/>
        </w:rPr>
      </w:pPr>
      <w:r>
        <w:rPr>
          <w:rFonts w:eastAsia="Verdana" w:cs="Verdana" w:ascii="Verdana" w:hAnsi="Verdana"/>
          <w:b/>
          <w:sz w:val="18"/>
          <w:szCs w:val="18"/>
        </w:rPr>
        <w:t xml:space="preserve">2.5.13 -  </w:t>
      </w:r>
      <w:r>
        <w:rPr>
          <w:rFonts w:eastAsia="Verdana" w:cs="Verdana" w:ascii="Verdana" w:hAnsi="Verdana"/>
          <w:sz w:val="18"/>
          <w:szCs w:val="18"/>
        </w:rPr>
        <w:t>Empresa cujos diretores, gerentes, representantes legais ou técnicos, membros de conselho técnico, consultivo, deliberativo ou administrativo ou sócios, sejam membros ou servidores do Poder Judiciário do Espírito Santo.</w:t>
      </w:r>
    </w:p>
    <w:p>
      <w:pPr>
        <w:pStyle w:val="Normal"/>
        <w:ind w:left="284" w:hanging="0"/>
        <w:jc w:val="both"/>
        <w:rPr>
          <w:rFonts w:ascii="Verdana" w:hAnsi="Verdana" w:eastAsia="Verdana" w:cs="Verdana"/>
          <w:b/>
          <w:b/>
          <w:sz w:val="18"/>
          <w:szCs w:val="18"/>
        </w:rPr>
      </w:pPr>
      <w:r>
        <w:rPr>
          <w:rFonts w:eastAsia="Verdana" w:cs="Verdana" w:ascii="Verdana" w:hAnsi="Verdana"/>
          <w:b/>
          <w:sz w:val="18"/>
          <w:szCs w:val="18"/>
        </w:rPr>
      </w:r>
    </w:p>
    <w:p>
      <w:pPr>
        <w:pStyle w:val="Normal"/>
        <w:ind w:left="284" w:hanging="0"/>
        <w:jc w:val="both"/>
        <w:rPr>
          <w:rFonts w:ascii="Verdana" w:hAnsi="Verdana" w:eastAsia="Verdana" w:cs="Verdana"/>
          <w:sz w:val="18"/>
          <w:szCs w:val="18"/>
        </w:rPr>
      </w:pPr>
      <w:r>
        <w:rPr>
          <w:rFonts w:eastAsia="Verdana" w:cs="Verdana" w:ascii="Verdana" w:hAnsi="Verdana"/>
          <w:b/>
          <w:sz w:val="18"/>
          <w:szCs w:val="18"/>
        </w:rPr>
        <w:t xml:space="preserve">2.5.14 -  </w:t>
      </w:r>
      <w:r>
        <w:rPr>
          <w:rFonts w:eastAsia="Verdana" w:cs="Verdana" w:ascii="Verdana" w:hAnsi="Verdana"/>
          <w:sz w:val="18"/>
          <w:szCs w:val="18"/>
        </w:rPr>
        <w:t xml:space="preserve">Pessoa jurídica que tenha em seu quadro societário cônjuge, companheiro ou parente em linha reta, colateral ou por afinidade até o terceiro grau, inclusive, dos magistrados ocupantes de cargos de direção ou no exercício de funções administrativas, assim como de servidores ocupantes de cargos de direção, chefia e assessoramento vinculados direta ou indiretamente às unidades situadas na linha hierárquica da área encarregada da licitação. (Resolução CNJ 07/2005, atualizada pela  Resolução CNJ nº 229, de 22.06.16). </w:t>
      </w:r>
    </w:p>
    <w:p>
      <w:pPr>
        <w:pStyle w:val="Normal"/>
        <w:ind w:left="284" w:hanging="0"/>
        <w:jc w:val="both"/>
        <w:rPr>
          <w:rFonts w:ascii="Verdana" w:hAnsi="Verdana" w:eastAsia="Verdana" w:cs="Verdana"/>
          <w:b/>
          <w:b/>
          <w:sz w:val="18"/>
          <w:szCs w:val="18"/>
        </w:rPr>
      </w:pPr>
      <w:r>
        <w:rPr>
          <w:rFonts w:eastAsia="Verdana" w:cs="Verdana" w:ascii="Verdana" w:hAnsi="Verdana"/>
          <w:b/>
          <w:sz w:val="18"/>
          <w:szCs w:val="18"/>
        </w:rPr>
      </w:r>
    </w:p>
    <w:p>
      <w:pPr>
        <w:pStyle w:val="Normal"/>
        <w:ind w:left="567" w:hanging="0"/>
        <w:jc w:val="both"/>
        <w:rPr>
          <w:rFonts w:ascii="Verdana" w:hAnsi="Verdana" w:eastAsia="Verdana" w:cs="Verdana"/>
          <w:sz w:val="18"/>
          <w:szCs w:val="18"/>
        </w:rPr>
      </w:pPr>
      <w:r>
        <w:rPr>
          <w:rFonts w:eastAsia="Verdana" w:cs="Verdana" w:ascii="Verdana" w:hAnsi="Verdana"/>
          <w:b/>
          <w:sz w:val="18"/>
          <w:szCs w:val="18"/>
        </w:rPr>
        <w:t xml:space="preserve">2.5.14.1 -  </w:t>
      </w:r>
      <w:r>
        <w:rPr>
          <w:rFonts w:eastAsia="Verdana" w:cs="Verdana" w:ascii="Verdana" w:hAnsi="Verdana"/>
          <w:sz w:val="18"/>
          <w:szCs w:val="18"/>
        </w:rPr>
        <w:t>A vedação constante no item 2.5.14 se estende às contratações cujo procedimento licitatório tenha sido deflagrado quando os magistrados e servidores geradores de incompatibilidade estavam no exercício dos respectivos cargos e funções, assim como às licitações iniciadas até 6 (seis) meses após a desincompatibilização. (Resolução CNJ nº 07/2005, atualizada pela Resolução CNJ nº 229/2016).</w:t>
      </w:r>
    </w:p>
    <w:p>
      <w:pPr>
        <w:pStyle w:val="Normal"/>
        <w:ind w:left="567" w:hanging="0"/>
        <w:jc w:val="both"/>
        <w:rPr>
          <w:rFonts w:ascii="Verdana" w:hAnsi="Verdana" w:eastAsia="Verdana" w:cs="Verdana"/>
          <w:b/>
          <w:b/>
          <w:sz w:val="18"/>
          <w:szCs w:val="18"/>
        </w:rPr>
      </w:pPr>
      <w:r>
        <w:rPr>
          <w:rFonts w:eastAsia="Verdana" w:cs="Verdana" w:ascii="Verdana" w:hAnsi="Verdana"/>
          <w:b/>
          <w:sz w:val="18"/>
          <w:szCs w:val="18"/>
        </w:rPr>
      </w:r>
    </w:p>
    <w:p>
      <w:pPr>
        <w:pStyle w:val="Normal"/>
        <w:ind w:left="567" w:hanging="0"/>
        <w:jc w:val="both"/>
        <w:rPr>
          <w:rFonts w:ascii="Verdana" w:hAnsi="Verdana" w:eastAsia="Verdana" w:cs="Verdana"/>
          <w:sz w:val="18"/>
          <w:szCs w:val="18"/>
        </w:rPr>
      </w:pPr>
      <w:r>
        <w:rPr>
          <w:rFonts w:eastAsia="Verdana" w:cs="Verdana" w:ascii="Verdana" w:hAnsi="Verdana"/>
          <w:b/>
          <w:sz w:val="18"/>
          <w:szCs w:val="18"/>
        </w:rPr>
        <w:t xml:space="preserve">2.5.14.2 - </w:t>
      </w:r>
      <w:r>
        <w:rPr>
          <w:rFonts w:eastAsia="Verdana" w:cs="Verdana" w:ascii="Verdana" w:hAnsi="Verdana"/>
          <w:sz w:val="18"/>
          <w:szCs w:val="18"/>
        </w:rPr>
        <w:t>É vedada a manutenção, aditamento ou prorrogação de contrato de prestação de serviços com empresa que tenha entre seus empregados colocados à disposição do Tribunal para o exercício de funções de chefia, pessoas que incidam na vedação dos arts. 1º e 2º da Resolução nº 156 do CNJ.</w:t>
      </w:r>
    </w:p>
    <w:p>
      <w:pPr>
        <w:pStyle w:val="Normal"/>
        <w:ind w:left="284" w:hanging="0"/>
        <w:jc w:val="both"/>
        <w:rPr>
          <w:rFonts w:ascii="Verdana" w:hAnsi="Verdana" w:eastAsia="Verdana" w:cs="Verdana"/>
          <w:b/>
          <w:b/>
          <w:sz w:val="18"/>
          <w:szCs w:val="18"/>
        </w:rPr>
      </w:pPr>
      <w:r>
        <w:rPr>
          <w:rFonts w:eastAsia="Verdana" w:cs="Verdana" w:ascii="Verdana" w:hAnsi="Verdana"/>
          <w:b/>
          <w:sz w:val="18"/>
          <w:szCs w:val="18"/>
        </w:rPr>
      </w:r>
    </w:p>
    <w:p>
      <w:pPr>
        <w:pStyle w:val="Normal"/>
        <w:ind w:left="284" w:hanging="0"/>
        <w:jc w:val="both"/>
        <w:rPr>
          <w:rFonts w:ascii="Verdana" w:hAnsi="Verdana" w:eastAsia="Verdana" w:cs="Verdana"/>
          <w:sz w:val="18"/>
          <w:szCs w:val="18"/>
        </w:rPr>
      </w:pPr>
      <w:r>
        <w:rPr>
          <w:rFonts w:eastAsia="Verdana" w:cs="Verdana" w:ascii="Verdana" w:hAnsi="Verdana"/>
          <w:b/>
          <w:sz w:val="18"/>
          <w:szCs w:val="18"/>
        </w:rPr>
        <w:t xml:space="preserve">2.5.15 -  </w:t>
      </w:r>
      <w:r>
        <w:rPr>
          <w:rFonts w:eastAsia="Verdana" w:cs="Verdana" w:ascii="Verdana" w:hAnsi="Verdana"/>
          <w:sz w:val="18"/>
          <w:szCs w:val="18"/>
        </w:rPr>
        <w:t xml:space="preserve">A contratação de empresa pertencente a parente de magistrado ou servidor não abrangido pelas hipóteses expressas de nepotismo poderá ser vedada pelo tribunal, quando, no caso concreto, identificar risco potencial de contaminação do processo licitatório. (Resolução CNJ nº 07/2005, atualizada pela Resolução CNJ nº 229/2016). </w:t>
      </w:r>
    </w:p>
    <w:p>
      <w:pPr>
        <w:pStyle w:val="Normal"/>
        <w:ind w:left="284" w:hanging="0"/>
        <w:jc w:val="both"/>
        <w:rPr>
          <w:rFonts w:ascii="Verdana" w:hAnsi="Verdana" w:eastAsia="Verdana" w:cs="Verdana"/>
          <w:b/>
          <w:b/>
          <w:sz w:val="18"/>
          <w:szCs w:val="18"/>
        </w:rPr>
      </w:pPr>
      <w:r>
        <w:rPr>
          <w:rFonts w:eastAsia="Verdana" w:cs="Verdana" w:ascii="Verdana" w:hAnsi="Verdana"/>
          <w:b/>
          <w:sz w:val="18"/>
          <w:szCs w:val="18"/>
        </w:rPr>
      </w:r>
    </w:p>
    <w:p>
      <w:pPr>
        <w:pStyle w:val="Normal"/>
        <w:ind w:left="284" w:hanging="0"/>
        <w:jc w:val="both"/>
        <w:rPr>
          <w:rFonts w:ascii="Verdana" w:hAnsi="Verdana" w:eastAsia="Verdana" w:cs="Verdana"/>
          <w:sz w:val="18"/>
          <w:szCs w:val="18"/>
        </w:rPr>
      </w:pPr>
      <w:r>
        <w:rPr>
          <w:rFonts w:eastAsia="Verdana" w:cs="Verdana" w:ascii="Verdana" w:hAnsi="Verdana"/>
          <w:b/>
          <w:sz w:val="18"/>
          <w:szCs w:val="18"/>
        </w:rPr>
        <w:t xml:space="preserve">2.5.16 - </w:t>
      </w:r>
      <w:r>
        <w:rPr>
          <w:rFonts w:eastAsia="Verdana" w:cs="Verdana" w:ascii="Verdana" w:hAnsi="Verdana"/>
          <w:sz w:val="18"/>
          <w:szCs w:val="18"/>
        </w:rPr>
        <w:t xml:space="preserve">É vedada a manutenção, aditamento ou prorrogação de contrato de prestação de serviços com empresa que venha a contratar empregados que sejam cônjuges, companheiros ou parentes em linha reta, colateral ou por afinidade, até o terceiro grau, inclusive, de ocupantes de cargos de direção e de assessoramento, de membros ou juízes vinculados ao respectivo Tribunal contratante. (Resolução CNJ nº 07/2005, atualizada pela Resolução CNJ nº 9/2005).  </w:t>
      </w:r>
    </w:p>
    <w:p>
      <w:pPr>
        <w:pStyle w:val="Normal"/>
        <w:ind w:left="284" w:hanging="0"/>
        <w:jc w:val="both"/>
        <w:rPr>
          <w:rFonts w:ascii="Verdana" w:hAnsi="Verdana" w:eastAsia="Verdana" w:cs="Verdana"/>
          <w:b/>
          <w:b/>
          <w:sz w:val="18"/>
          <w:szCs w:val="18"/>
        </w:rPr>
      </w:pPr>
      <w:r>
        <w:rPr>
          <w:rFonts w:eastAsia="Verdana" w:cs="Verdana" w:ascii="Verdana" w:hAnsi="Verdana"/>
          <w:b/>
          <w:sz w:val="18"/>
          <w:szCs w:val="18"/>
        </w:rPr>
      </w:r>
    </w:p>
    <w:p>
      <w:pPr>
        <w:pStyle w:val="Normal"/>
        <w:ind w:left="284" w:hanging="0"/>
        <w:jc w:val="both"/>
        <w:rPr>
          <w:rFonts w:ascii="Verdana" w:hAnsi="Verdana" w:eastAsia="Verdana" w:cs="Verdana"/>
          <w:sz w:val="18"/>
          <w:szCs w:val="18"/>
        </w:rPr>
      </w:pPr>
      <w:r>
        <w:rPr>
          <w:rFonts w:eastAsia="Verdana" w:cs="Verdana" w:ascii="Verdana" w:hAnsi="Verdana"/>
          <w:b/>
          <w:sz w:val="18"/>
          <w:szCs w:val="18"/>
        </w:rPr>
        <w:t xml:space="preserve">2.5.17 - </w:t>
      </w:r>
      <w:r>
        <w:rPr>
          <w:rFonts w:eastAsia="Verdana" w:cs="Verdana" w:ascii="Verdana" w:hAnsi="Verdana"/>
          <w:sz w:val="18"/>
          <w:szCs w:val="18"/>
        </w:rPr>
        <w:t>É vedada a manutenção, aditamento ou prorrogação de contrato de prestação de serviços com empresa que tenha entre seus empregados colocados à disposição do Tribunal para o exercício de funções de chefia, pessoas que incidam na vedação dos arts. 1º e 2º da Resolução nº 156 do CNJ.</w:t>
      </w:r>
    </w:p>
    <w:p>
      <w:pPr>
        <w:pStyle w:val="Normal"/>
        <w:ind w:left="284" w:hanging="0"/>
        <w:jc w:val="both"/>
        <w:rPr>
          <w:rFonts w:ascii="Verdana" w:hAnsi="Verdana" w:eastAsia="Verdana" w:cs="Verdana"/>
          <w:b/>
          <w:b/>
          <w:sz w:val="18"/>
          <w:szCs w:val="18"/>
        </w:rPr>
      </w:pPr>
      <w:r>
        <w:rPr>
          <w:rFonts w:eastAsia="Verdana" w:cs="Verdana" w:ascii="Verdana" w:hAnsi="Verdana"/>
          <w:b/>
          <w:sz w:val="18"/>
          <w:szCs w:val="18"/>
        </w:rPr>
      </w:r>
    </w:p>
    <w:p>
      <w:pPr>
        <w:pStyle w:val="Normal"/>
        <w:ind w:left="284" w:hanging="0"/>
        <w:jc w:val="both"/>
        <w:rPr>
          <w:rFonts w:ascii="Verdana" w:hAnsi="Verdana" w:eastAsia="Verdana" w:cs="Verdana"/>
          <w:sz w:val="18"/>
          <w:szCs w:val="18"/>
        </w:rPr>
      </w:pPr>
      <w:r>
        <w:rPr>
          <w:rFonts w:eastAsia="Verdana" w:cs="Verdana" w:ascii="Verdana" w:hAnsi="Verdana"/>
          <w:b/>
          <w:sz w:val="18"/>
          <w:szCs w:val="18"/>
        </w:rPr>
        <w:t xml:space="preserve">2.5.18 - </w:t>
      </w:r>
      <w:r>
        <w:rPr>
          <w:rFonts w:eastAsia="Verdana" w:cs="Verdana" w:ascii="Verdana" w:hAnsi="Verdana"/>
          <w:sz w:val="18"/>
          <w:szCs w:val="18"/>
        </w:rPr>
        <w:t>Havendo alteração no quadro de empregados que contrarie o disposto na Resolução CNJ Nº 07/2005, essa deverá ser imediatamente comunicada ao Tribunal de Justiça para as providências julgadas cabíveis.</w:t>
      </w:r>
    </w:p>
    <w:p>
      <w:pPr>
        <w:pStyle w:val="Normal"/>
        <w:jc w:val="both"/>
        <w:rPr>
          <w:rFonts w:ascii="Verdana" w:hAnsi="Verdana" w:eastAsia="Verdana" w:cs="Verdana"/>
          <w:sz w:val="18"/>
          <w:szCs w:val="18"/>
        </w:rPr>
      </w:pPr>
      <w:r>
        <w:rPr>
          <w:rFonts w:eastAsia="Verdana" w:cs="Verdana" w:ascii="Verdana" w:hAnsi="Verdana"/>
          <w:sz w:val="18"/>
          <w:szCs w:val="18"/>
        </w:rPr>
      </w:r>
    </w:p>
    <w:p>
      <w:pPr>
        <w:pStyle w:val="Normal"/>
        <w:jc w:val="both"/>
        <w:rPr>
          <w:rFonts w:ascii="Verdana" w:hAnsi="Verdana" w:eastAsia="Verdana" w:cs="Verdana"/>
          <w:sz w:val="18"/>
          <w:szCs w:val="18"/>
        </w:rPr>
      </w:pPr>
      <w:r>
        <w:rPr>
          <w:rFonts w:eastAsia="Verdana" w:cs="Verdana" w:ascii="Verdana" w:hAnsi="Verdana"/>
          <w:b/>
          <w:sz w:val="18"/>
          <w:szCs w:val="18"/>
        </w:rPr>
        <w:t xml:space="preserve">2.6 - </w:t>
      </w:r>
      <w:r>
        <w:rPr>
          <w:rFonts w:eastAsia="Verdana" w:cs="Verdana" w:ascii="Verdana" w:hAnsi="Verdana"/>
          <w:sz w:val="18"/>
          <w:szCs w:val="18"/>
        </w:rPr>
        <w:t>O impedimento de que trata o item 2.5.4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pPr>
        <w:pStyle w:val="Normal"/>
        <w:jc w:val="both"/>
        <w:rPr>
          <w:rFonts w:ascii="Verdana" w:hAnsi="Verdana" w:eastAsia="Verdana" w:cs="Verdana"/>
          <w:b/>
          <w:b/>
          <w:sz w:val="18"/>
          <w:szCs w:val="18"/>
        </w:rPr>
      </w:pPr>
      <w:r>
        <w:rPr>
          <w:rFonts w:eastAsia="Verdana" w:cs="Verdana" w:ascii="Verdana" w:hAnsi="Verdana"/>
          <w:b/>
          <w:sz w:val="18"/>
          <w:szCs w:val="18"/>
        </w:rPr>
      </w:r>
    </w:p>
    <w:p>
      <w:pPr>
        <w:pStyle w:val="Normal"/>
        <w:jc w:val="both"/>
        <w:rPr>
          <w:rFonts w:ascii="Verdana" w:hAnsi="Verdana" w:eastAsia="Verdana" w:cs="Verdana"/>
          <w:sz w:val="18"/>
          <w:szCs w:val="18"/>
        </w:rPr>
      </w:pPr>
      <w:r>
        <w:rPr>
          <w:rFonts w:eastAsia="Verdana" w:cs="Verdana" w:ascii="Verdana" w:hAnsi="Verdana"/>
          <w:b/>
          <w:sz w:val="18"/>
          <w:szCs w:val="18"/>
        </w:rPr>
        <w:t xml:space="preserve">2.7 - </w:t>
      </w:r>
      <w:r>
        <w:rPr>
          <w:rFonts w:eastAsia="Verdana" w:cs="Verdana" w:ascii="Verdana" w:hAnsi="Verdana"/>
          <w:sz w:val="18"/>
          <w:szCs w:val="18"/>
        </w:rPr>
        <w:t>A vedação de que trata o item 2.5.8 estende-se a terceiro que auxilie a condução da contratação na qualidade de integrante de equipe de apoio, profissional especializado ou funcionário ou representante de empresa que preste assessoria técnica.</w:t>
      </w:r>
    </w:p>
    <w:p>
      <w:pPr>
        <w:pStyle w:val="Normal"/>
        <w:jc w:val="both"/>
        <w:rPr>
          <w:rFonts w:ascii="Verdana" w:hAnsi="Verdana" w:eastAsia="Verdana" w:cs="Verdana"/>
          <w:sz w:val="18"/>
          <w:szCs w:val="18"/>
        </w:rPr>
      </w:pPr>
      <w:r>
        <w:rPr>
          <w:rFonts w:eastAsia="Verdana" w:cs="Verdana" w:ascii="Verdana" w:hAnsi="Verdana"/>
          <w:sz w:val="18"/>
          <w:szCs w:val="18"/>
        </w:rPr>
      </w:r>
    </w:p>
    <w:p>
      <w:pPr>
        <w:pStyle w:val="Normal"/>
        <w:pBdr/>
        <w:shd w:val="clear" w:color="auto" w:fill="C0C0C0"/>
        <w:tabs>
          <w:tab w:val="clear" w:pos="720"/>
          <w:tab w:val="left" w:pos="1134" w:leader="none"/>
          <w:tab w:val="left" w:pos="2268" w:leader="none"/>
          <w:tab w:val="left" w:pos="3402" w:leader="none"/>
          <w:tab w:val="left" w:pos="4536" w:leader="none"/>
          <w:tab w:val="left" w:pos="5670" w:leader="none"/>
          <w:tab w:val="left" w:pos="6804" w:leader="none"/>
          <w:tab w:val="left" w:pos="7938" w:leader="none"/>
          <w:tab w:val="left" w:pos="9072" w:leader="none"/>
          <w:tab w:val="left" w:pos="10206" w:leader="none"/>
          <w:tab w:val="left" w:pos="11340" w:leader="none"/>
        </w:tabs>
        <w:jc w:val="both"/>
        <w:rPr>
          <w:rFonts w:ascii="Verdana" w:hAnsi="Verdana" w:eastAsia="Verdana" w:cs="Verdana"/>
          <w:b/>
          <w:b/>
          <w:sz w:val="18"/>
          <w:szCs w:val="18"/>
        </w:rPr>
      </w:pPr>
      <w:r>
        <w:rPr>
          <w:rFonts w:eastAsia="Verdana" w:cs="Verdana" w:ascii="Verdana" w:hAnsi="Verdana"/>
          <w:b/>
          <w:sz w:val="18"/>
          <w:szCs w:val="18"/>
        </w:rPr>
        <w:t>3 - DA APRESENTAÇÃO DA PROPOSTA  E DOS DOCUMENTOS DE HABILITAÇÃO</w:t>
      </w:r>
    </w:p>
    <w:p>
      <w:pPr>
        <w:pStyle w:val="Normal"/>
        <w:pBdr/>
        <w:tabs>
          <w:tab w:val="clear" w:pos="720"/>
          <w:tab w:val="left" w:pos="1134" w:leader="none"/>
          <w:tab w:val="left" w:pos="2268" w:leader="none"/>
          <w:tab w:val="left" w:pos="3402" w:leader="none"/>
          <w:tab w:val="left" w:pos="4536" w:leader="none"/>
          <w:tab w:val="left" w:pos="5670" w:leader="none"/>
          <w:tab w:val="left" w:pos="6804" w:leader="none"/>
          <w:tab w:val="left" w:pos="7938" w:leader="none"/>
          <w:tab w:val="left" w:pos="9072" w:leader="none"/>
          <w:tab w:val="left" w:pos="10206" w:leader="none"/>
          <w:tab w:val="left" w:pos="11340" w:leader="none"/>
        </w:tabs>
        <w:jc w:val="both"/>
        <w:rPr>
          <w:rFonts w:ascii="Verdana" w:hAnsi="Verdana" w:eastAsia="Verdana" w:cs="Verdana"/>
          <w:b/>
          <w:b/>
          <w:sz w:val="18"/>
          <w:szCs w:val="18"/>
        </w:rPr>
      </w:pPr>
      <w:r>
        <w:rPr>
          <w:rFonts w:eastAsia="Verdana" w:cs="Verdana" w:ascii="Verdana" w:hAnsi="Verdana"/>
          <w:b/>
          <w:sz w:val="18"/>
          <w:szCs w:val="18"/>
        </w:rPr>
      </w:r>
    </w:p>
    <w:p>
      <w:pPr>
        <w:pStyle w:val="Normal"/>
        <w:pBdr/>
        <w:tabs>
          <w:tab w:val="clear" w:pos="720"/>
          <w:tab w:val="left" w:pos="1134" w:leader="none"/>
          <w:tab w:val="left" w:pos="2268" w:leader="none"/>
          <w:tab w:val="left" w:pos="3402" w:leader="none"/>
          <w:tab w:val="left" w:pos="4536" w:leader="none"/>
          <w:tab w:val="left" w:pos="5670" w:leader="none"/>
          <w:tab w:val="left" w:pos="6804" w:leader="none"/>
          <w:tab w:val="left" w:pos="7938" w:leader="none"/>
          <w:tab w:val="left" w:pos="9072" w:leader="none"/>
          <w:tab w:val="left" w:pos="10206" w:leader="none"/>
          <w:tab w:val="left" w:pos="11340" w:leader="none"/>
        </w:tabs>
        <w:jc w:val="both"/>
        <w:rPr>
          <w:rFonts w:ascii="Verdana" w:hAnsi="Verdana" w:eastAsia="Verdana" w:cs="Verdana"/>
          <w:sz w:val="18"/>
          <w:szCs w:val="18"/>
        </w:rPr>
      </w:pPr>
      <w:r>
        <w:rPr>
          <w:rFonts w:eastAsia="Verdana" w:cs="Verdana" w:ascii="Verdana" w:hAnsi="Verdana"/>
          <w:b/>
          <w:sz w:val="18"/>
          <w:szCs w:val="18"/>
        </w:rPr>
        <w:t xml:space="preserve">3.1 - </w:t>
      </w:r>
      <w:r>
        <w:rPr>
          <w:rFonts w:eastAsia="Verdana" w:cs="Verdana" w:ascii="Verdana" w:hAnsi="Verdana"/>
          <w:sz w:val="18"/>
          <w:szCs w:val="18"/>
        </w:rPr>
        <w:t>Na presente licitação, a fase de habilitação sucederá as fases de apresentação de propostas e lances e de julgamento.</w:t>
      </w:r>
    </w:p>
    <w:p>
      <w:pPr>
        <w:pStyle w:val="Normal"/>
        <w:tabs>
          <w:tab w:val="clear" w:pos="720"/>
          <w:tab w:val="left" w:pos="1134" w:leader="none"/>
          <w:tab w:val="left" w:pos="2268" w:leader="none"/>
          <w:tab w:val="left" w:pos="3402" w:leader="none"/>
          <w:tab w:val="left" w:pos="4536" w:leader="none"/>
          <w:tab w:val="left" w:pos="5670" w:leader="none"/>
          <w:tab w:val="left" w:pos="6804" w:leader="none"/>
          <w:tab w:val="left" w:pos="7938" w:leader="none"/>
          <w:tab w:val="left" w:pos="9072" w:leader="none"/>
          <w:tab w:val="left" w:pos="10206" w:leader="none"/>
          <w:tab w:val="left" w:pos="11340" w:leader="none"/>
        </w:tabs>
        <w:spacing w:before="280" w:after="280"/>
        <w:jc w:val="both"/>
        <w:rPr>
          <w:rFonts w:ascii="Verdana" w:hAnsi="Verdana" w:eastAsia="Verdana" w:cs="Verdana"/>
          <w:sz w:val="18"/>
          <w:szCs w:val="18"/>
        </w:rPr>
      </w:pPr>
      <w:r>
        <w:rPr>
          <w:rFonts w:eastAsia="Verdana" w:cs="Verdana" w:ascii="Verdana" w:hAnsi="Verdana"/>
          <w:b/>
          <w:sz w:val="18"/>
          <w:szCs w:val="18"/>
        </w:rPr>
        <w:t>3.2 -</w:t>
      </w:r>
      <w:r>
        <w:rPr>
          <w:rFonts w:eastAsia="Verdana" w:cs="Verdana" w:ascii="Verdana" w:hAnsi="Verdana"/>
          <w:sz w:val="18"/>
          <w:szCs w:val="18"/>
        </w:rPr>
        <w:t xml:space="preserve"> No cadastramento da proposta inicial, o licitante declarará, em campo próprio do sistema, que:</w:t>
      </w:r>
    </w:p>
    <w:p>
      <w:pPr>
        <w:pStyle w:val="Normal"/>
        <w:tabs>
          <w:tab w:val="clear" w:pos="720"/>
          <w:tab w:val="left" w:pos="1134" w:leader="none"/>
          <w:tab w:val="left" w:pos="2268" w:leader="none"/>
          <w:tab w:val="left" w:pos="3402" w:leader="none"/>
          <w:tab w:val="left" w:pos="4536" w:leader="none"/>
          <w:tab w:val="left" w:pos="5670" w:leader="none"/>
          <w:tab w:val="left" w:pos="6804" w:leader="none"/>
          <w:tab w:val="left" w:pos="7938" w:leader="none"/>
          <w:tab w:val="left" w:pos="9072" w:leader="none"/>
          <w:tab w:val="left" w:pos="10206" w:leader="none"/>
          <w:tab w:val="left" w:pos="11340" w:leader="none"/>
        </w:tabs>
        <w:spacing w:before="280" w:after="280"/>
        <w:ind w:left="284" w:hanging="0"/>
        <w:jc w:val="both"/>
        <w:rPr>
          <w:rFonts w:ascii="Verdana" w:hAnsi="Verdana" w:eastAsia="Verdana" w:cs="Verdana"/>
          <w:sz w:val="18"/>
          <w:szCs w:val="18"/>
        </w:rPr>
      </w:pPr>
      <w:r>
        <w:rPr>
          <w:rFonts w:eastAsia="Verdana" w:cs="Verdana" w:ascii="Verdana" w:hAnsi="Verdana"/>
          <w:b/>
          <w:sz w:val="18"/>
          <w:szCs w:val="18"/>
        </w:rPr>
        <w:t>3.2.1 -</w:t>
      </w:r>
      <w:r>
        <w:rPr>
          <w:rFonts w:eastAsia="Verdana" w:cs="Verdana" w:ascii="Verdana" w:hAnsi="Verdana"/>
          <w:sz w:val="18"/>
          <w:szCs w:val="18"/>
        </w:rPr>
        <w:t xml:space="preserve"> 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pPr>
        <w:pStyle w:val="Normal"/>
        <w:tabs>
          <w:tab w:val="clear" w:pos="720"/>
          <w:tab w:val="left" w:pos="1134" w:leader="none"/>
          <w:tab w:val="left" w:pos="2268" w:leader="none"/>
          <w:tab w:val="left" w:pos="3402" w:leader="none"/>
          <w:tab w:val="left" w:pos="4536" w:leader="none"/>
          <w:tab w:val="left" w:pos="5670" w:leader="none"/>
          <w:tab w:val="left" w:pos="6804" w:leader="none"/>
          <w:tab w:val="left" w:pos="7938" w:leader="none"/>
          <w:tab w:val="left" w:pos="9072" w:leader="none"/>
          <w:tab w:val="left" w:pos="10206" w:leader="none"/>
          <w:tab w:val="left" w:pos="11340" w:leader="none"/>
        </w:tabs>
        <w:spacing w:before="280" w:after="280"/>
        <w:ind w:left="284" w:hanging="0"/>
        <w:jc w:val="both"/>
        <w:rPr>
          <w:rFonts w:ascii="Verdana" w:hAnsi="Verdana" w:eastAsia="Verdana" w:cs="Verdana"/>
          <w:sz w:val="18"/>
          <w:szCs w:val="18"/>
        </w:rPr>
      </w:pPr>
      <w:r>
        <w:rPr>
          <w:rFonts w:eastAsia="Verdana" w:cs="Verdana" w:ascii="Verdana" w:hAnsi="Verdana"/>
          <w:b/>
          <w:sz w:val="18"/>
          <w:szCs w:val="18"/>
        </w:rPr>
        <w:t>3.2.2 -</w:t>
      </w:r>
      <w:r>
        <w:rPr>
          <w:rFonts w:eastAsia="Verdana" w:cs="Verdana" w:ascii="Verdana" w:hAnsi="Verdana"/>
          <w:sz w:val="18"/>
          <w:szCs w:val="18"/>
        </w:rPr>
        <w:t xml:space="preserve"> Não emprega menor de 18 anos em trabalho noturno, perigoso ou insalubre e não emprega menor de 16 anos, salvo menor, a partir de 14 anos, na condição de aprendiz, nos termos do</w:t>
      </w:r>
      <w:r>
        <w:fldChar w:fldCharType="begin"/>
      </w:r>
      <w:r>
        <w:rPr>
          <w:sz w:val="18"/>
          <w:szCs w:val="18"/>
          <w:rFonts w:eastAsia="Verdana" w:cs="Verdana" w:ascii="Verdana" w:hAnsi="Verdana"/>
        </w:rPr>
        <w:instrText> HYPERLINK "https://www.planalto.gov.br/ccivil_03/constituicao/constituicaocompilado.htm" \l "art7"</w:instrText>
      </w:r>
      <w:r>
        <w:rPr>
          <w:sz w:val="18"/>
          <w:szCs w:val="18"/>
          <w:rFonts w:eastAsia="Verdana" w:cs="Verdana" w:ascii="Verdana" w:hAnsi="Verdana"/>
        </w:rPr>
        <w:fldChar w:fldCharType="separate"/>
      </w:r>
      <w:r>
        <w:rPr>
          <w:rFonts w:eastAsia="Verdana" w:cs="Verdana" w:ascii="Verdana" w:hAnsi="Verdana"/>
          <w:sz w:val="18"/>
          <w:szCs w:val="18"/>
        </w:rPr>
        <w:t xml:space="preserve"> </w:t>
      </w:r>
      <w:r>
        <w:rPr>
          <w:sz w:val="18"/>
          <w:szCs w:val="18"/>
          <w:rFonts w:eastAsia="Verdana" w:cs="Verdana" w:ascii="Verdana" w:hAnsi="Verdana"/>
        </w:rPr>
        <w:fldChar w:fldCharType="end"/>
      </w:r>
      <w:r>
        <w:fldChar w:fldCharType="begin"/>
      </w:r>
      <w:r>
        <w:rPr>
          <w:sz w:val="18"/>
          <w:u w:val="single"/>
          <w:szCs w:val="18"/>
          <w:rFonts w:eastAsia="Verdana" w:cs="Verdana" w:ascii="Verdana" w:hAnsi="Verdana"/>
        </w:rPr>
        <w:instrText> HYPERLINK "https://www.planalto.gov.br/ccivil_03/constituicao/constituicaocompilado.htm" \l "art7"</w:instrText>
      </w:r>
      <w:r>
        <w:rPr>
          <w:sz w:val="18"/>
          <w:u w:val="single"/>
          <w:szCs w:val="18"/>
          <w:rFonts w:eastAsia="Verdana" w:cs="Verdana" w:ascii="Verdana" w:hAnsi="Verdana"/>
        </w:rPr>
        <w:fldChar w:fldCharType="separate"/>
      </w:r>
      <w:r>
        <w:rPr>
          <w:rFonts w:eastAsia="Verdana" w:cs="Verdana" w:ascii="Verdana" w:hAnsi="Verdana"/>
          <w:sz w:val="18"/>
          <w:szCs w:val="18"/>
          <w:u w:val="single"/>
        </w:rPr>
        <w:t>artigo 7°, XXXIII, da Constituição</w:t>
      </w:r>
      <w:r>
        <w:rPr>
          <w:sz w:val="18"/>
          <w:u w:val="single"/>
          <w:szCs w:val="18"/>
          <w:rFonts w:eastAsia="Verdana" w:cs="Verdana" w:ascii="Verdana" w:hAnsi="Verdana"/>
        </w:rPr>
        <w:fldChar w:fldCharType="end"/>
      </w:r>
      <w:r>
        <w:rPr>
          <w:rFonts w:eastAsia="Verdana" w:cs="Verdana" w:ascii="Verdana" w:hAnsi="Verdana"/>
          <w:sz w:val="18"/>
          <w:szCs w:val="18"/>
        </w:rPr>
        <w:t>;</w:t>
      </w:r>
    </w:p>
    <w:p>
      <w:pPr>
        <w:pStyle w:val="Normal"/>
        <w:tabs>
          <w:tab w:val="clear" w:pos="720"/>
          <w:tab w:val="left" w:pos="1134" w:leader="none"/>
          <w:tab w:val="left" w:pos="2268" w:leader="none"/>
          <w:tab w:val="left" w:pos="3402" w:leader="none"/>
          <w:tab w:val="left" w:pos="4536" w:leader="none"/>
          <w:tab w:val="left" w:pos="5670" w:leader="none"/>
          <w:tab w:val="left" w:pos="6804" w:leader="none"/>
          <w:tab w:val="left" w:pos="7938" w:leader="none"/>
          <w:tab w:val="left" w:pos="9072" w:leader="none"/>
          <w:tab w:val="left" w:pos="10206" w:leader="none"/>
          <w:tab w:val="left" w:pos="11340" w:leader="none"/>
        </w:tabs>
        <w:spacing w:before="280" w:after="280"/>
        <w:ind w:left="284" w:hanging="0"/>
        <w:jc w:val="both"/>
        <w:rPr>
          <w:rFonts w:ascii="Verdana" w:hAnsi="Verdana" w:eastAsia="Verdana" w:cs="Verdana"/>
          <w:sz w:val="18"/>
          <w:szCs w:val="18"/>
        </w:rPr>
      </w:pPr>
      <w:r>
        <w:rPr>
          <w:rFonts w:eastAsia="Verdana" w:cs="Verdana" w:ascii="Verdana" w:hAnsi="Verdana"/>
          <w:b/>
          <w:sz w:val="18"/>
          <w:szCs w:val="18"/>
        </w:rPr>
        <w:t>3.2.3 -</w:t>
      </w:r>
      <w:r>
        <w:rPr>
          <w:rFonts w:eastAsia="Verdana" w:cs="Verdana" w:ascii="Verdana" w:hAnsi="Verdana"/>
          <w:sz w:val="18"/>
          <w:szCs w:val="18"/>
        </w:rPr>
        <w:t xml:space="preserve"> Não possui, em sua cadeia produtiva, empregados executando trabalho degradante ou forçado, observando o disposto nos</w:t>
      </w:r>
      <w:hyperlink r:id="rId6">
        <w:r>
          <w:rPr>
            <w:rFonts w:eastAsia="Verdana" w:cs="Verdana" w:ascii="Verdana" w:hAnsi="Verdana"/>
            <w:sz w:val="18"/>
            <w:szCs w:val="18"/>
          </w:rPr>
          <w:t xml:space="preserve"> </w:t>
        </w:r>
      </w:hyperlink>
      <w:hyperlink r:id="rId7">
        <w:r>
          <w:rPr>
            <w:rFonts w:eastAsia="Verdana" w:cs="Verdana" w:ascii="Verdana" w:hAnsi="Verdana"/>
            <w:sz w:val="18"/>
            <w:szCs w:val="18"/>
            <w:u w:val="single"/>
          </w:rPr>
          <w:t>incisos III e IV do art. 1º e no inciso III do art. 5º da Constituição Federal</w:t>
        </w:r>
      </w:hyperlink>
      <w:r>
        <w:rPr>
          <w:rFonts w:eastAsia="Verdana" w:cs="Verdana" w:ascii="Verdana" w:hAnsi="Verdana"/>
          <w:sz w:val="18"/>
          <w:szCs w:val="18"/>
        </w:rPr>
        <w:t>;</w:t>
      </w:r>
    </w:p>
    <w:p>
      <w:pPr>
        <w:pStyle w:val="Normal"/>
        <w:tabs>
          <w:tab w:val="clear" w:pos="720"/>
          <w:tab w:val="left" w:pos="1134" w:leader="none"/>
          <w:tab w:val="left" w:pos="2268" w:leader="none"/>
          <w:tab w:val="left" w:pos="3402" w:leader="none"/>
          <w:tab w:val="left" w:pos="4536" w:leader="none"/>
          <w:tab w:val="left" w:pos="5670" w:leader="none"/>
          <w:tab w:val="left" w:pos="6804" w:leader="none"/>
          <w:tab w:val="left" w:pos="7938" w:leader="none"/>
          <w:tab w:val="left" w:pos="9072" w:leader="none"/>
          <w:tab w:val="left" w:pos="10206" w:leader="none"/>
          <w:tab w:val="left" w:pos="11340" w:leader="none"/>
        </w:tabs>
        <w:spacing w:before="280" w:after="280"/>
        <w:ind w:left="284" w:hanging="0"/>
        <w:jc w:val="both"/>
        <w:rPr>
          <w:rFonts w:ascii="Verdana" w:hAnsi="Verdana" w:eastAsia="Verdana" w:cs="Verdana"/>
          <w:sz w:val="18"/>
          <w:szCs w:val="18"/>
        </w:rPr>
      </w:pPr>
      <w:r>
        <w:rPr>
          <w:rFonts w:eastAsia="Verdana" w:cs="Verdana" w:ascii="Verdana" w:hAnsi="Verdana"/>
          <w:b/>
          <w:sz w:val="18"/>
          <w:szCs w:val="18"/>
        </w:rPr>
        <w:t>3.2.4 -</w:t>
      </w:r>
      <w:r>
        <w:rPr>
          <w:rFonts w:eastAsia="Verdana" w:cs="Verdana" w:ascii="Verdana" w:hAnsi="Verdana"/>
          <w:sz w:val="18"/>
          <w:szCs w:val="18"/>
        </w:rPr>
        <w:t xml:space="preserve"> Cumpre as exigências de reserva de cargos para pessoa com deficiência e para reabilitado da Previdência Social, previstas em lei e em outras normas específicas.</w:t>
      </w:r>
    </w:p>
    <w:p>
      <w:pPr>
        <w:pStyle w:val="Normal"/>
        <w:tabs>
          <w:tab w:val="clear" w:pos="720"/>
          <w:tab w:val="left" w:pos="1134" w:leader="none"/>
          <w:tab w:val="left" w:pos="2268" w:leader="none"/>
          <w:tab w:val="left" w:pos="3402" w:leader="none"/>
          <w:tab w:val="left" w:pos="4536" w:leader="none"/>
          <w:tab w:val="left" w:pos="5670" w:leader="none"/>
          <w:tab w:val="left" w:pos="6804" w:leader="none"/>
          <w:tab w:val="left" w:pos="7938" w:leader="none"/>
          <w:tab w:val="left" w:pos="9072" w:leader="none"/>
          <w:tab w:val="left" w:pos="10206" w:leader="none"/>
          <w:tab w:val="left" w:pos="11340" w:leader="none"/>
        </w:tabs>
        <w:spacing w:before="280" w:after="280"/>
        <w:jc w:val="both"/>
        <w:rPr>
          <w:rFonts w:ascii="Verdana" w:hAnsi="Verdana" w:eastAsia="Verdana" w:cs="Verdana"/>
          <w:sz w:val="18"/>
          <w:szCs w:val="18"/>
        </w:rPr>
      </w:pPr>
      <w:r>
        <w:rPr>
          <w:rFonts w:eastAsia="Verdana" w:cs="Verdana" w:ascii="Verdana" w:hAnsi="Verdana"/>
          <w:b/>
          <w:sz w:val="18"/>
          <w:szCs w:val="18"/>
        </w:rPr>
        <w:t xml:space="preserve">3.3 - </w:t>
      </w:r>
      <w:r>
        <w:rPr>
          <w:rFonts w:eastAsia="Verdana" w:cs="Verdana" w:ascii="Verdana" w:hAnsi="Verdana"/>
          <w:sz w:val="18"/>
          <w:szCs w:val="18"/>
        </w:rPr>
        <w:t>O licitante organizado em cooperativa deverá declarar, ainda, em campo próprio do sistema eletrônico, que cumpre os requisitos estabelecidos no</w:t>
      </w:r>
      <w:r>
        <w:fldChar w:fldCharType="begin"/>
      </w:r>
      <w:r>
        <w:rPr>
          <w:sz w:val="18"/>
          <w:szCs w:val="18"/>
          <w:rFonts w:eastAsia="Verdana" w:cs="Verdana" w:ascii="Verdana" w:hAnsi="Verdana"/>
        </w:rPr>
        <w:instrText> HYPERLINK "http://www.planalto.gov.br/ccivil_03/_ato2019-2022/2021/lei/L14133.htm" \l "art16"</w:instrText>
      </w:r>
      <w:r>
        <w:rPr>
          <w:sz w:val="18"/>
          <w:szCs w:val="18"/>
          <w:rFonts w:eastAsia="Verdana" w:cs="Verdana" w:ascii="Verdana" w:hAnsi="Verdana"/>
        </w:rPr>
        <w:fldChar w:fldCharType="separate"/>
      </w:r>
      <w:r>
        <w:rPr>
          <w:rFonts w:eastAsia="Verdana" w:cs="Verdana" w:ascii="Verdana" w:hAnsi="Verdana"/>
          <w:sz w:val="18"/>
          <w:szCs w:val="18"/>
        </w:rPr>
        <w:t xml:space="preserve"> </w:t>
      </w:r>
      <w:r>
        <w:rPr>
          <w:sz w:val="18"/>
          <w:szCs w:val="18"/>
          <w:rFonts w:eastAsia="Verdana" w:cs="Verdana" w:ascii="Verdana" w:hAnsi="Verdana"/>
        </w:rPr>
        <w:fldChar w:fldCharType="end"/>
      </w:r>
      <w:r>
        <w:fldChar w:fldCharType="begin"/>
      </w:r>
      <w:r>
        <w:rPr>
          <w:sz w:val="18"/>
          <w:u w:val="single"/>
          <w:szCs w:val="18"/>
          <w:rFonts w:eastAsia="Verdana" w:cs="Verdana" w:ascii="Verdana" w:hAnsi="Verdana"/>
        </w:rPr>
        <w:instrText> HYPERLINK "http://www.planalto.gov.br/ccivil_03/_ato2019-2022/2021/lei/L14133.htm" \l "art16"</w:instrText>
      </w:r>
      <w:r>
        <w:rPr>
          <w:sz w:val="18"/>
          <w:u w:val="single"/>
          <w:szCs w:val="18"/>
          <w:rFonts w:eastAsia="Verdana" w:cs="Verdana" w:ascii="Verdana" w:hAnsi="Verdana"/>
        </w:rPr>
        <w:fldChar w:fldCharType="separate"/>
      </w:r>
      <w:r>
        <w:rPr>
          <w:rFonts w:eastAsia="Verdana" w:cs="Verdana" w:ascii="Verdana" w:hAnsi="Verdana"/>
          <w:sz w:val="18"/>
          <w:szCs w:val="18"/>
          <w:u w:val="single"/>
        </w:rPr>
        <w:t>artigo 16 da Lei nº 14.133, de 2021</w:t>
      </w:r>
      <w:r>
        <w:rPr>
          <w:sz w:val="18"/>
          <w:u w:val="single"/>
          <w:szCs w:val="18"/>
          <w:rFonts w:eastAsia="Verdana" w:cs="Verdana" w:ascii="Verdana" w:hAnsi="Verdana"/>
        </w:rPr>
        <w:fldChar w:fldCharType="end"/>
      </w:r>
      <w:r>
        <w:rPr>
          <w:rFonts w:eastAsia="Verdana" w:cs="Verdana" w:ascii="Verdana" w:hAnsi="Verdana"/>
          <w:sz w:val="18"/>
          <w:szCs w:val="18"/>
        </w:rPr>
        <w:t>.</w:t>
      </w:r>
    </w:p>
    <w:p>
      <w:pPr>
        <w:pStyle w:val="Normal"/>
        <w:tabs>
          <w:tab w:val="clear" w:pos="720"/>
          <w:tab w:val="left" w:pos="1134" w:leader="none"/>
          <w:tab w:val="left" w:pos="2268" w:leader="none"/>
          <w:tab w:val="left" w:pos="3402" w:leader="none"/>
          <w:tab w:val="left" w:pos="4536" w:leader="none"/>
          <w:tab w:val="left" w:pos="5670" w:leader="none"/>
          <w:tab w:val="left" w:pos="6804" w:leader="none"/>
          <w:tab w:val="left" w:pos="7938" w:leader="none"/>
          <w:tab w:val="left" w:pos="9072" w:leader="none"/>
          <w:tab w:val="left" w:pos="10206" w:leader="none"/>
          <w:tab w:val="left" w:pos="11340" w:leader="none"/>
        </w:tabs>
        <w:spacing w:before="280" w:after="280"/>
        <w:jc w:val="both"/>
        <w:rPr>
          <w:rFonts w:ascii="Verdana" w:hAnsi="Verdana" w:eastAsia="Verdana" w:cs="Verdana"/>
          <w:sz w:val="18"/>
          <w:szCs w:val="18"/>
          <w:u w:val="single"/>
        </w:rPr>
      </w:pPr>
      <w:r>
        <w:rPr>
          <w:rFonts w:eastAsia="Verdana" w:cs="Verdana" w:ascii="Verdana" w:hAnsi="Verdana"/>
          <w:b/>
          <w:sz w:val="18"/>
          <w:szCs w:val="18"/>
        </w:rPr>
        <w:t xml:space="preserve">3.4 - </w:t>
      </w:r>
      <w:r>
        <w:rPr>
          <w:rFonts w:eastAsia="Verdana" w:cs="Verdana" w:ascii="Verdana" w:hAnsi="Verdana"/>
          <w:sz w:val="18"/>
          <w:szCs w:val="18"/>
        </w:rPr>
        <w:t>O fornecedor enquadrado como microempresa, empresa de pequeno porte ou sociedade cooperativa deverá declarar, ainda, em campo próprio do sistema eletrônico, que cumpre os requisitos estabelecidos no</w:t>
      </w:r>
      <w:r>
        <w:fldChar w:fldCharType="begin"/>
      </w:r>
      <w:r>
        <w:rPr>
          <w:sz w:val="18"/>
          <w:szCs w:val="18"/>
          <w:rFonts w:eastAsia="Verdana" w:cs="Verdana" w:ascii="Verdana" w:hAnsi="Verdana"/>
        </w:rPr>
        <w:instrText> HYPERLINK "https://www.planalto.gov.br/ccivil_03/leis/lcp/lcp123.htm" \l "art3"</w:instrText>
      </w:r>
      <w:r>
        <w:rPr>
          <w:sz w:val="18"/>
          <w:szCs w:val="18"/>
          <w:rFonts w:eastAsia="Verdana" w:cs="Verdana" w:ascii="Verdana" w:hAnsi="Verdana"/>
        </w:rPr>
        <w:fldChar w:fldCharType="separate"/>
      </w:r>
      <w:r>
        <w:rPr>
          <w:rFonts w:eastAsia="Verdana" w:cs="Verdana" w:ascii="Verdana" w:hAnsi="Verdana"/>
          <w:sz w:val="18"/>
          <w:szCs w:val="18"/>
        </w:rPr>
        <w:t xml:space="preserve"> </w:t>
      </w:r>
      <w:r>
        <w:rPr>
          <w:sz w:val="18"/>
          <w:szCs w:val="18"/>
          <w:rFonts w:eastAsia="Verdana" w:cs="Verdana" w:ascii="Verdana" w:hAnsi="Verdana"/>
        </w:rPr>
        <w:fldChar w:fldCharType="end"/>
      </w:r>
      <w:r>
        <w:fldChar w:fldCharType="begin"/>
      </w:r>
      <w:r>
        <w:rPr>
          <w:sz w:val="18"/>
          <w:u w:val="single"/>
          <w:szCs w:val="18"/>
          <w:rFonts w:eastAsia="Verdana" w:cs="Verdana" w:ascii="Verdana" w:hAnsi="Verdana"/>
        </w:rPr>
        <w:instrText> HYPERLINK "https://www.planalto.gov.br/ccivil_03/leis/lcp/lcp123.htm" \l "art3"</w:instrText>
      </w:r>
      <w:r>
        <w:rPr>
          <w:sz w:val="18"/>
          <w:u w:val="single"/>
          <w:szCs w:val="18"/>
          <w:rFonts w:eastAsia="Verdana" w:cs="Verdana" w:ascii="Verdana" w:hAnsi="Verdana"/>
        </w:rPr>
        <w:fldChar w:fldCharType="separate"/>
      </w:r>
      <w:r>
        <w:rPr>
          <w:rFonts w:eastAsia="Verdana" w:cs="Verdana" w:ascii="Verdana" w:hAnsi="Verdana"/>
          <w:sz w:val="18"/>
          <w:szCs w:val="18"/>
          <w:u w:val="single"/>
        </w:rPr>
        <w:t>artigo 3° da Lei Complementar nº 123, de 2006</w:t>
      </w:r>
      <w:r>
        <w:rPr>
          <w:sz w:val="18"/>
          <w:u w:val="single"/>
          <w:szCs w:val="18"/>
          <w:rFonts w:eastAsia="Verdana" w:cs="Verdana" w:ascii="Verdana" w:hAnsi="Verdana"/>
        </w:rPr>
        <w:fldChar w:fldCharType="end"/>
      </w:r>
      <w:r>
        <w:rPr>
          <w:rFonts w:eastAsia="Verdana" w:cs="Verdana" w:ascii="Verdana" w:hAnsi="Verdana"/>
          <w:sz w:val="18"/>
          <w:szCs w:val="18"/>
        </w:rPr>
        <w:t>, estando apto a usufruir do tratamento favorecido estabelecido em seus</w:t>
      </w:r>
      <w:r>
        <w:fldChar w:fldCharType="begin"/>
      </w:r>
      <w:r>
        <w:rPr>
          <w:sz w:val="18"/>
          <w:szCs w:val="18"/>
          <w:rFonts w:eastAsia="Verdana" w:cs="Verdana" w:ascii="Verdana" w:hAnsi="Verdana"/>
        </w:rPr>
        <w:instrText> HYPERLINK "https://www.planalto.gov.br/ccivil_03/leis/lcp/lcp123.htm" \l "art42"</w:instrText>
      </w:r>
      <w:r>
        <w:rPr>
          <w:sz w:val="18"/>
          <w:szCs w:val="18"/>
          <w:rFonts w:eastAsia="Verdana" w:cs="Verdana" w:ascii="Verdana" w:hAnsi="Verdana"/>
        </w:rPr>
        <w:fldChar w:fldCharType="separate"/>
      </w:r>
      <w:r>
        <w:rPr>
          <w:rFonts w:eastAsia="Verdana" w:cs="Verdana" w:ascii="Verdana" w:hAnsi="Verdana"/>
          <w:sz w:val="18"/>
          <w:szCs w:val="18"/>
        </w:rPr>
        <w:t xml:space="preserve"> </w:t>
      </w:r>
      <w:r>
        <w:rPr>
          <w:sz w:val="18"/>
          <w:szCs w:val="18"/>
          <w:rFonts w:eastAsia="Verdana" w:cs="Verdana" w:ascii="Verdana" w:hAnsi="Verdana"/>
        </w:rPr>
        <w:fldChar w:fldCharType="end"/>
      </w:r>
      <w:r>
        <w:fldChar w:fldCharType="begin"/>
      </w:r>
      <w:r>
        <w:rPr>
          <w:sz w:val="18"/>
          <w:u w:val="single"/>
          <w:szCs w:val="18"/>
          <w:rFonts w:eastAsia="Verdana" w:cs="Verdana" w:ascii="Verdana" w:hAnsi="Verdana"/>
        </w:rPr>
        <w:instrText> HYPERLINK "https://www.planalto.gov.br/ccivil_03/leis/lcp/lcp123.htm" \l "art42"</w:instrText>
      </w:r>
      <w:r>
        <w:rPr>
          <w:sz w:val="18"/>
          <w:u w:val="single"/>
          <w:szCs w:val="18"/>
          <w:rFonts w:eastAsia="Verdana" w:cs="Verdana" w:ascii="Verdana" w:hAnsi="Verdana"/>
        </w:rPr>
        <w:fldChar w:fldCharType="separate"/>
      </w:r>
      <w:r>
        <w:rPr>
          <w:rFonts w:eastAsia="Verdana" w:cs="Verdana" w:ascii="Verdana" w:hAnsi="Verdana"/>
          <w:sz w:val="18"/>
          <w:szCs w:val="18"/>
          <w:u w:val="single"/>
        </w:rPr>
        <w:t>arts. 42 a 49</w:t>
      </w:r>
      <w:r>
        <w:rPr>
          <w:sz w:val="18"/>
          <w:u w:val="single"/>
          <w:szCs w:val="18"/>
          <w:rFonts w:eastAsia="Verdana" w:cs="Verdana" w:ascii="Verdana" w:hAnsi="Verdana"/>
        </w:rPr>
        <w:fldChar w:fldCharType="end"/>
      </w:r>
      <w:r>
        <w:rPr>
          <w:rFonts w:eastAsia="Verdana" w:cs="Verdana" w:ascii="Verdana" w:hAnsi="Verdana"/>
          <w:sz w:val="18"/>
          <w:szCs w:val="18"/>
        </w:rPr>
        <w:t>, observado o disposto nos</w:t>
      </w:r>
      <w:r>
        <w:fldChar w:fldCharType="begin"/>
      </w:r>
      <w:r>
        <w:rPr>
          <w:sz w:val="18"/>
          <w:szCs w:val="18"/>
          <w:rFonts w:eastAsia="Verdana" w:cs="Verdana" w:ascii="Verdana" w:hAnsi="Verdana"/>
        </w:rPr>
        <w:instrText> HYPERLINK "http://www.planalto.gov.br/ccivil_03/_ato2019-2022/2021/lei/L14133.htm" \l "art4§1"</w:instrText>
      </w:r>
      <w:r>
        <w:rPr>
          <w:sz w:val="18"/>
          <w:szCs w:val="18"/>
          <w:rFonts w:eastAsia="Verdana" w:cs="Verdana" w:ascii="Verdana" w:hAnsi="Verdana"/>
        </w:rPr>
        <w:fldChar w:fldCharType="separate"/>
      </w:r>
      <w:r>
        <w:rPr>
          <w:rFonts w:eastAsia="Verdana" w:cs="Verdana" w:ascii="Verdana" w:hAnsi="Verdana"/>
          <w:sz w:val="18"/>
          <w:szCs w:val="18"/>
        </w:rPr>
        <w:t xml:space="preserve"> </w:t>
      </w:r>
      <w:r>
        <w:rPr>
          <w:sz w:val="18"/>
          <w:szCs w:val="18"/>
          <w:rFonts w:eastAsia="Verdana" w:cs="Verdana" w:ascii="Verdana" w:hAnsi="Verdana"/>
        </w:rPr>
        <w:fldChar w:fldCharType="end"/>
      </w:r>
      <w:r>
        <w:fldChar w:fldCharType="begin"/>
      </w:r>
      <w:r>
        <w:rPr>
          <w:sz w:val="18"/>
          <w:u w:val="single"/>
          <w:szCs w:val="18"/>
          <w:rFonts w:eastAsia="Verdana" w:cs="Verdana" w:ascii="Verdana" w:hAnsi="Verdana"/>
        </w:rPr>
        <w:instrText> HYPERLINK "http://www.planalto.gov.br/ccivil_03/_ato2019-2022/2021/lei/L14133.htm" \l "art4§1"</w:instrText>
      </w:r>
      <w:r>
        <w:rPr>
          <w:sz w:val="18"/>
          <w:u w:val="single"/>
          <w:szCs w:val="18"/>
          <w:rFonts w:eastAsia="Verdana" w:cs="Verdana" w:ascii="Verdana" w:hAnsi="Verdana"/>
        </w:rPr>
        <w:fldChar w:fldCharType="separate"/>
      </w:r>
      <w:r>
        <w:rPr>
          <w:rFonts w:eastAsia="Verdana" w:cs="Verdana" w:ascii="Verdana" w:hAnsi="Verdana"/>
          <w:sz w:val="18"/>
          <w:szCs w:val="18"/>
          <w:u w:val="single"/>
        </w:rPr>
        <w:t>§§ 1º ao 3º do art. 4º, da Lei n.º 14.133, de 2021.</w:t>
      </w:r>
      <w:r>
        <w:rPr>
          <w:sz w:val="18"/>
          <w:u w:val="single"/>
          <w:szCs w:val="18"/>
          <w:rFonts w:eastAsia="Verdana" w:cs="Verdana" w:ascii="Verdana" w:hAnsi="Verdana"/>
        </w:rPr>
        <w:fldChar w:fldCharType="end"/>
      </w:r>
    </w:p>
    <w:p>
      <w:pPr>
        <w:pStyle w:val="Normal"/>
        <w:tabs>
          <w:tab w:val="clear" w:pos="720"/>
          <w:tab w:val="left" w:pos="1134" w:leader="none"/>
          <w:tab w:val="left" w:pos="2268" w:leader="none"/>
          <w:tab w:val="left" w:pos="3402" w:leader="none"/>
          <w:tab w:val="left" w:pos="4536" w:leader="none"/>
          <w:tab w:val="left" w:pos="5670" w:leader="none"/>
          <w:tab w:val="left" w:pos="6804" w:leader="none"/>
          <w:tab w:val="left" w:pos="7938" w:leader="none"/>
          <w:tab w:val="left" w:pos="9072" w:leader="none"/>
          <w:tab w:val="left" w:pos="10206" w:leader="none"/>
          <w:tab w:val="left" w:pos="11340" w:leader="none"/>
        </w:tabs>
        <w:spacing w:before="280" w:after="280"/>
        <w:ind w:left="284" w:hanging="0"/>
        <w:jc w:val="both"/>
        <w:rPr>
          <w:rFonts w:ascii="Verdana" w:hAnsi="Verdana" w:eastAsia="Verdana" w:cs="Verdana"/>
          <w:sz w:val="18"/>
          <w:szCs w:val="18"/>
        </w:rPr>
      </w:pPr>
      <w:r>
        <w:rPr>
          <w:rFonts w:eastAsia="Verdana" w:cs="Verdana" w:ascii="Verdana" w:hAnsi="Verdana"/>
          <w:b/>
          <w:sz w:val="18"/>
          <w:szCs w:val="18"/>
        </w:rPr>
        <w:t>3.4.1 -</w:t>
      </w:r>
      <w:r>
        <w:rPr>
          <w:rFonts w:eastAsia="Verdana" w:cs="Verdana" w:ascii="Verdana" w:hAnsi="Verdana"/>
          <w:sz w:val="18"/>
          <w:szCs w:val="18"/>
        </w:rPr>
        <w:t xml:space="preserve"> No item exclusivo para participação de microempresas e empresas de pequeno porte, a assinalação do campo “não”, impedirá o prosseguimento no certame, para aquele item;</w:t>
      </w:r>
    </w:p>
    <w:p>
      <w:pPr>
        <w:pStyle w:val="Normal"/>
        <w:tabs>
          <w:tab w:val="clear" w:pos="720"/>
          <w:tab w:val="left" w:pos="1134" w:leader="none"/>
          <w:tab w:val="left" w:pos="2268" w:leader="none"/>
          <w:tab w:val="left" w:pos="3402" w:leader="none"/>
          <w:tab w:val="left" w:pos="4536" w:leader="none"/>
          <w:tab w:val="left" w:pos="5670" w:leader="none"/>
          <w:tab w:val="left" w:pos="6804" w:leader="none"/>
          <w:tab w:val="left" w:pos="7938" w:leader="none"/>
          <w:tab w:val="left" w:pos="9072" w:leader="none"/>
          <w:tab w:val="left" w:pos="10206" w:leader="none"/>
          <w:tab w:val="left" w:pos="11340" w:leader="none"/>
        </w:tabs>
        <w:spacing w:before="280" w:after="280"/>
        <w:ind w:left="284" w:hanging="0"/>
        <w:jc w:val="both"/>
        <w:rPr>
          <w:rFonts w:ascii="Verdana" w:hAnsi="Verdana" w:eastAsia="Verdana" w:cs="Verdana"/>
          <w:sz w:val="18"/>
          <w:szCs w:val="18"/>
        </w:rPr>
      </w:pPr>
      <w:r>
        <w:rPr>
          <w:rFonts w:eastAsia="Verdana" w:cs="Verdana" w:ascii="Verdana" w:hAnsi="Verdana"/>
          <w:b/>
          <w:sz w:val="18"/>
          <w:szCs w:val="18"/>
        </w:rPr>
        <w:t xml:space="preserve">3.4.2 - </w:t>
      </w:r>
      <w:r>
        <w:rPr>
          <w:rFonts w:eastAsia="Verdana" w:cs="Verdana" w:ascii="Verdana" w:hAnsi="Verdana"/>
          <w:sz w:val="18"/>
          <w:szCs w:val="18"/>
        </w:rPr>
        <w:t>Nos itens em que a participação não for exclusiva para microempresas e empresas de pequeno porte, a assinalação do campo “não” apenas produzirá o efeito de o licitante não ter direito ao tratamento favorecido previsto na</w:t>
      </w:r>
      <w:hyperlink r:id="rId8">
        <w:r>
          <w:rPr>
            <w:rFonts w:eastAsia="Verdana" w:cs="Verdana" w:ascii="Verdana" w:hAnsi="Verdana"/>
            <w:sz w:val="18"/>
            <w:szCs w:val="18"/>
          </w:rPr>
          <w:t xml:space="preserve"> </w:t>
        </w:r>
      </w:hyperlink>
      <w:hyperlink r:id="rId9">
        <w:r>
          <w:rPr>
            <w:rFonts w:eastAsia="Verdana" w:cs="Verdana" w:ascii="Verdana" w:hAnsi="Verdana"/>
            <w:sz w:val="18"/>
            <w:szCs w:val="18"/>
            <w:u w:val="single"/>
          </w:rPr>
          <w:t>Lei Complementar nº 123, de 2006</w:t>
        </w:r>
      </w:hyperlink>
      <w:r>
        <w:rPr>
          <w:rFonts w:eastAsia="Verdana" w:cs="Verdana" w:ascii="Verdana" w:hAnsi="Verdana"/>
          <w:sz w:val="18"/>
          <w:szCs w:val="18"/>
        </w:rPr>
        <w:t xml:space="preserve">, mesmo que microempresa, empresa de pequeno porte ou sociedade cooperativa. </w:t>
      </w:r>
    </w:p>
    <w:p>
      <w:pPr>
        <w:pStyle w:val="Normal"/>
        <w:tabs>
          <w:tab w:val="clear" w:pos="720"/>
          <w:tab w:val="left" w:pos="1134" w:leader="none"/>
          <w:tab w:val="left" w:pos="2268" w:leader="none"/>
          <w:tab w:val="left" w:pos="3402" w:leader="none"/>
          <w:tab w:val="left" w:pos="4536" w:leader="none"/>
          <w:tab w:val="left" w:pos="5670" w:leader="none"/>
          <w:tab w:val="left" w:pos="6804" w:leader="none"/>
          <w:tab w:val="left" w:pos="7938" w:leader="none"/>
          <w:tab w:val="left" w:pos="9072" w:leader="none"/>
          <w:tab w:val="left" w:pos="10206" w:leader="none"/>
          <w:tab w:val="left" w:pos="11340" w:leader="none"/>
        </w:tabs>
        <w:spacing w:before="280" w:after="280"/>
        <w:jc w:val="both"/>
        <w:rPr>
          <w:rFonts w:ascii="Verdana" w:hAnsi="Verdana" w:eastAsia="Verdana" w:cs="Verdana"/>
          <w:sz w:val="18"/>
          <w:szCs w:val="18"/>
        </w:rPr>
      </w:pPr>
      <w:r>
        <w:rPr>
          <w:rFonts w:eastAsia="Verdana" w:cs="Verdana" w:ascii="Verdana" w:hAnsi="Verdana"/>
          <w:b/>
          <w:sz w:val="18"/>
          <w:szCs w:val="18"/>
        </w:rPr>
        <w:t xml:space="preserve">3.5 - </w:t>
      </w:r>
      <w:r>
        <w:rPr>
          <w:rFonts w:eastAsia="Verdana" w:cs="Verdana" w:ascii="Verdana" w:hAnsi="Verdana"/>
          <w:sz w:val="18"/>
          <w:szCs w:val="18"/>
        </w:rPr>
        <w:t>A falsidade da declaração de que trata os itens 3.2 ou 3.4 sujeitará o licitante às sanções previstas na</w:t>
      </w:r>
      <w:hyperlink r:id="rId10">
        <w:r>
          <w:rPr>
            <w:rFonts w:eastAsia="Verdana" w:cs="Verdana" w:ascii="Verdana" w:hAnsi="Verdana"/>
            <w:sz w:val="18"/>
            <w:szCs w:val="18"/>
          </w:rPr>
          <w:t xml:space="preserve"> </w:t>
        </w:r>
      </w:hyperlink>
      <w:hyperlink r:id="rId11">
        <w:r>
          <w:rPr>
            <w:rFonts w:eastAsia="Verdana" w:cs="Verdana" w:ascii="Verdana" w:hAnsi="Verdana"/>
            <w:sz w:val="18"/>
            <w:szCs w:val="18"/>
            <w:u w:val="single"/>
          </w:rPr>
          <w:t>Lei nº 14.133, de 2021</w:t>
        </w:r>
      </w:hyperlink>
      <w:r>
        <w:rPr>
          <w:rFonts w:eastAsia="Verdana" w:cs="Verdana" w:ascii="Verdana" w:hAnsi="Verdana"/>
          <w:sz w:val="18"/>
          <w:szCs w:val="18"/>
        </w:rPr>
        <w:t>, e neste Edital.</w:t>
      </w:r>
    </w:p>
    <w:p>
      <w:pPr>
        <w:pStyle w:val="Normal"/>
        <w:tabs>
          <w:tab w:val="clear" w:pos="720"/>
          <w:tab w:val="left" w:pos="1134" w:leader="none"/>
          <w:tab w:val="left" w:pos="2268" w:leader="none"/>
          <w:tab w:val="left" w:pos="3402" w:leader="none"/>
          <w:tab w:val="left" w:pos="4536" w:leader="none"/>
          <w:tab w:val="left" w:pos="5670" w:leader="none"/>
          <w:tab w:val="left" w:pos="6804" w:leader="none"/>
          <w:tab w:val="left" w:pos="7938" w:leader="none"/>
          <w:tab w:val="left" w:pos="9072" w:leader="none"/>
          <w:tab w:val="left" w:pos="10206" w:leader="none"/>
          <w:tab w:val="left" w:pos="11340" w:leader="none"/>
        </w:tabs>
        <w:spacing w:before="280" w:after="280"/>
        <w:jc w:val="both"/>
        <w:rPr>
          <w:rFonts w:ascii="Verdana" w:hAnsi="Verdana" w:eastAsia="Verdana" w:cs="Verdana"/>
          <w:sz w:val="18"/>
          <w:szCs w:val="18"/>
        </w:rPr>
      </w:pPr>
      <w:r>
        <w:rPr>
          <w:rFonts w:eastAsia="Verdana" w:cs="Verdana" w:ascii="Verdana" w:hAnsi="Verdana"/>
          <w:b/>
          <w:sz w:val="18"/>
          <w:szCs w:val="18"/>
        </w:rPr>
        <w:t>3.6 -</w:t>
      </w:r>
      <w:r>
        <w:rPr>
          <w:rFonts w:eastAsia="Verdana" w:cs="Verdana" w:ascii="Verdana" w:hAnsi="Verdana"/>
          <w:sz w:val="18"/>
          <w:szCs w:val="18"/>
        </w:rPr>
        <w:t xml:space="preserve"> Os licitantes poderão retirar ou substituir a proposta até a abertura da sessão pública.</w:t>
      </w:r>
    </w:p>
    <w:p>
      <w:pPr>
        <w:pStyle w:val="Normal"/>
        <w:tabs>
          <w:tab w:val="clear" w:pos="720"/>
          <w:tab w:val="left" w:pos="1134" w:leader="none"/>
          <w:tab w:val="left" w:pos="2268" w:leader="none"/>
          <w:tab w:val="left" w:pos="3402" w:leader="none"/>
          <w:tab w:val="left" w:pos="4536" w:leader="none"/>
          <w:tab w:val="left" w:pos="5670" w:leader="none"/>
          <w:tab w:val="left" w:pos="6804" w:leader="none"/>
          <w:tab w:val="left" w:pos="7938" w:leader="none"/>
          <w:tab w:val="left" w:pos="9072" w:leader="none"/>
          <w:tab w:val="left" w:pos="10206" w:leader="none"/>
          <w:tab w:val="left" w:pos="11340" w:leader="none"/>
        </w:tabs>
        <w:spacing w:before="280" w:after="280"/>
        <w:jc w:val="both"/>
        <w:rPr>
          <w:rFonts w:ascii="Verdana" w:hAnsi="Verdana" w:eastAsia="Verdana" w:cs="Verdana"/>
          <w:sz w:val="18"/>
          <w:szCs w:val="18"/>
        </w:rPr>
      </w:pPr>
      <w:r>
        <w:rPr>
          <w:rFonts w:eastAsia="Verdana" w:cs="Verdana" w:ascii="Verdana" w:hAnsi="Verdana"/>
          <w:b/>
          <w:sz w:val="18"/>
          <w:szCs w:val="18"/>
        </w:rPr>
        <w:t xml:space="preserve">3.7 - </w:t>
      </w:r>
      <w:r>
        <w:rPr>
          <w:rFonts w:eastAsia="Verdana" w:cs="Verdana" w:ascii="Verdana" w:hAnsi="Verdana"/>
          <w:sz w:val="18"/>
          <w:szCs w:val="18"/>
        </w:rPr>
        <w:t>Não haverá ordem de classificação na etapa de apresentação da proposta e dos documentos de habilitação pelo licitante, o que ocorrerá somente após os procedimentos de abertura da sessão pública e da fase de envio de lances.</w:t>
      </w:r>
    </w:p>
    <w:p>
      <w:pPr>
        <w:pStyle w:val="Normal"/>
        <w:tabs>
          <w:tab w:val="clear" w:pos="720"/>
          <w:tab w:val="left" w:pos="1134" w:leader="none"/>
          <w:tab w:val="left" w:pos="2268" w:leader="none"/>
          <w:tab w:val="left" w:pos="3402" w:leader="none"/>
          <w:tab w:val="left" w:pos="4536" w:leader="none"/>
          <w:tab w:val="left" w:pos="5670" w:leader="none"/>
          <w:tab w:val="left" w:pos="6804" w:leader="none"/>
          <w:tab w:val="left" w:pos="7938" w:leader="none"/>
          <w:tab w:val="left" w:pos="9072" w:leader="none"/>
          <w:tab w:val="left" w:pos="10206" w:leader="none"/>
          <w:tab w:val="left" w:pos="11340" w:leader="none"/>
        </w:tabs>
        <w:spacing w:before="280" w:after="280"/>
        <w:jc w:val="both"/>
        <w:rPr>
          <w:rFonts w:ascii="Verdana" w:hAnsi="Verdana" w:eastAsia="Verdana" w:cs="Verdana"/>
          <w:sz w:val="18"/>
          <w:szCs w:val="18"/>
        </w:rPr>
      </w:pPr>
      <w:r>
        <w:rPr>
          <w:rFonts w:eastAsia="Verdana" w:cs="Verdana" w:ascii="Verdana" w:hAnsi="Verdana"/>
          <w:b/>
          <w:sz w:val="18"/>
          <w:szCs w:val="18"/>
        </w:rPr>
        <w:t>3.8 -</w:t>
      </w:r>
      <w:r>
        <w:rPr>
          <w:rFonts w:eastAsia="Verdana" w:cs="Verdana" w:ascii="Verdana" w:hAnsi="Verdana"/>
          <w:sz w:val="18"/>
          <w:szCs w:val="18"/>
        </w:rPr>
        <w:t xml:space="preserve"> Serão disponibilizados para acesso público os documentos que compõem a proposta dos licitantes convocados para apresentação de propostas, após a fase de envio de lances. </w:t>
      </w:r>
    </w:p>
    <w:p>
      <w:pPr>
        <w:pStyle w:val="Normal"/>
        <w:tabs>
          <w:tab w:val="clear" w:pos="720"/>
          <w:tab w:val="left" w:pos="1134" w:leader="none"/>
          <w:tab w:val="left" w:pos="2268" w:leader="none"/>
          <w:tab w:val="left" w:pos="3402" w:leader="none"/>
          <w:tab w:val="left" w:pos="4536" w:leader="none"/>
          <w:tab w:val="left" w:pos="5670" w:leader="none"/>
          <w:tab w:val="left" w:pos="6804" w:leader="none"/>
          <w:tab w:val="left" w:pos="7938" w:leader="none"/>
          <w:tab w:val="left" w:pos="9072" w:leader="none"/>
          <w:tab w:val="left" w:pos="10206" w:leader="none"/>
          <w:tab w:val="left" w:pos="11340" w:leader="none"/>
        </w:tabs>
        <w:spacing w:before="280" w:after="280"/>
        <w:ind w:left="284" w:hanging="0"/>
        <w:jc w:val="both"/>
        <w:rPr>
          <w:rFonts w:ascii="Verdana" w:hAnsi="Verdana" w:eastAsia="Verdana" w:cs="Verdana"/>
          <w:sz w:val="18"/>
          <w:szCs w:val="18"/>
        </w:rPr>
      </w:pPr>
      <w:r>
        <w:rPr>
          <w:rFonts w:eastAsia="Verdana" w:cs="Verdana" w:ascii="Verdana" w:hAnsi="Verdana"/>
          <w:b/>
          <w:sz w:val="18"/>
          <w:szCs w:val="18"/>
        </w:rPr>
        <w:t xml:space="preserve">3.12 </w:t>
      </w:r>
      <w:r>
        <w:rPr>
          <w:rFonts w:eastAsia="Verdana" w:cs="Verdana" w:ascii="Verdana" w:hAnsi="Verdana"/>
          <w:sz w:val="18"/>
          <w:szCs w:val="18"/>
        </w:rPr>
        <w:t>- 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pPr>
        <w:pStyle w:val="Normal"/>
        <w:tabs>
          <w:tab w:val="clear" w:pos="720"/>
          <w:tab w:val="left" w:pos="1134" w:leader="none"/>
          <w:tab w:val="left" w:pos="2268" w:leader="none"/>
          <w:tab w:val="left" w:pos="3402" w:leader="none"/>
          <w:tab w:val="left" w:pos="4536" w:leader="none"/>
          <w:tab w:val="left" w:pos="5670" w:leader="none"/>
          <w:tab w:val="left" w:pos="6804" w:leader="none"/>
          <w:tab w:val="left" w:pos="7938" w:leader="none"/>
          <w:tab w:val="left" w:pos="9072" w:leader="none"/>
          <w:tab w:val="left" w:pos="10206" w:leader="none"/>
          <w:tab w:val="left" w:pos="11340" w:leader="none"/>
        </w:tabs>
        <w:jc w:val="both"/>
        <w:rPr>
          <w:rFonts w:ascii="Verdana" w:hAnsi="Verdana" w:eastAsia="Verdana" w:cs="Verdana"/>
          <w:sz w:val="18"/>
          <w:szCs w:val="18"/>
        </w:rPr>
      </w:pPr>
      <w:r>
        <w:rPr>
          <w:rFonts w:eastAsia="Verdana" w:cs="Verdana" w:ascii="Verdana" w:hAnsi="Verdana"/>
          <w:b/>
          <w:sz w:val="18"/>
          <w:szCs w:val="18"/>
        </w:rPr>
        <w:t xml:space="preserve">3.9 </w:t>
      </w:r>
      <w:r>
        <w:rPr>
          <w:rFonts w:eastAsia="Verdana" w:cs="Verdana" w:ascii="Verdana" w:hAnsi="Verdana"/>
          <w:sz w:val="18"/>
          <w:szCs w:val="18"/>
        </w:rPr>
        <w:t>- O licitante deverá comunicar imediatamente ao provedor do sistema qualquer acontecimento que possa comprometer o sigilo ou a segurança, para imediato bloqueio de acesso.</w:t>
      </w:r>
    </w:p>
    <w:p>
      <w:pPr>
        <w:pStyle w:val="Normal"/>
        <w:pBdr/>
        <w:tabs>
          <w:tab w:val="clear" w:pos="720"/>
          <w:tab w:val="left" w:pos="1134" w:leader="none"/>
          <w:tab w:val="left" w:pos="2268" w:leader="none"/>
          <w:tab w:val="left" w:pos="3402" w:leader="none"/>
          <w:tab w:val="left" w:pos="4536" w:leader="none"/>
          <w:tab w:val="left" w:pos="5670" w:leader="none"/>
          <w:tab w:val="left" w:pos="6804" w:leader="none"/>
          <w:tab w:val="left" w:pos="7938" w:leader="none"/>
          <w:tab w:val="left" w:pos="9072" w:leader="none"/>
          <w:tab w:val="left" w:pos="10206" w:leader="none"/>
          <w:tab w:val="left" w:pos="11340" w:leader="none"/>
        </w:tabs>
        <w:jc w:val="both"/>
        <w:rPr>
          <w:rFonts w:ascii="Arial" w:hAnsi="Arial" w:eastAsia="Arial" w:cs="Arial"/>
          <w:sz w:val="24"/>
          <w:szCs w:val="24"/>
        </w:rPr>
      </w:pPr>
      <w:r>
        <w:rPr>
          <w:rFonts w:eastAsia="Arial" w:cs="Arial" w:ascii="Arial" w:hAnsi="Arial"/>
          <w:sz w:val="24"/>
          <w:szCs w:val="24"/>
        </w:rPr>
      </w:r>
    </w:p>
    <w:p>
      <w:pPr>
        <w:pStyle w:val="Normal"/>
        <w:shd w:val="clear" w:color="auto" w:fill="C0C0C0"/>
        <w:tabs>
          <w:tab w:val="clear" w:pos="720"/>
          <w:tab w:val="left" w:pos="1134" w:leader="none"/>
          <w:tab w:val="left" w:pos="2268" w:leader="none"/>
          <w:tab w:val="left" w:pos="3402" w:leader="none"/>
          <w:tab w:val="left" w:pos="4536" w:leader="none"/>
          <w:tab w:val="left" w:pos="5670" w:leader="none"/>
          <w:tab w:val="left" w:pos="6804" w:leader="none"/>
          <w:tab w:val="left" w:pos="7938" w:leader="none"/>
          <w:tab w:val="left" w:pos="9072" w:leader="none"/>
          <w:tab w:val="left" w:pos="10206" w:leader="none"/>
          <w:tab w:val="left" w:pos="11340" w:leader="none"/>
        </w:tabs>
        <w:jc w:val="both"/>
        <w:rPr>
          <w:rFonts w:ascii="Verdana" w:hAnsi="Verdana" w:eastAsia="Verdana" w:cs="Verdana"/>
          <w:b/>
          <w:b/>
          <w:sz w:val="18"/>
          <w:szCs w:val="18"/>
        </w:rPr>
      </w:pPr>
      <w:r>
        <w:rPr>
          <w:rFonts w:eastAsia="Verdana" w:cs="Verdana" w:ascii="Verdana" w:hAnsi="Verdana"/>
          <w:b/>
          <w:sz w:val="18"/>
          <w:szCs w:val="18"/>
        </w:rPr>
        <w:t>4 - DO PREENCHIMENTO DA PROPOSTA</w:t>
      </w:r>
    </w:p>
    <w:p>
      <w:pPr>
        <w:pStyle w:val="Normal"/>
        <w:pBdr/>
        <w:tabs>
          <w:tab w:val="clear" w:pos="720"/>
          <w:tab w:val="left" w:pos="1134" w:leader="none"/>
          <w:tab w:val="left" w:pos="2268" w:leader="none"/>
          <w:tab w:val="left" w:pos="3402" w:leader="none"/>
          <w:tab w:val="left" w:pos="4536" w:leader="none"/>
          <w:tab w:val="left" w:pos="5670" w:leader="none"/>
          <w:tab w:val="left" w:pos="6804" w:leader="none"/>
          <w:tab w:val="left" w:pos="7938" w:leader="none"/>
          <w:tab w:val="left" w:pos="9072" w:leader="none"/>
          <w:tab w:val="left" w:pos="10206" w:leader="none"/>
          <w:tab w:val="left" w:pos="11340" w:leader="none"/>
        </w:tabs>
        <w:jc w:val="both"/>
        <w:rPr>
          <w:rFonts w:ascii="Arial" w:hAnsi="Arial" w:eastAsia="Arial" w:cs="Arial"/>
          <w:sz w:val="24"/>
          <w:szCs w:val="24"/>
        </w:rPr>
      </w:pPr>
      <w:r>
        <w:rPr>
          <w:rFonts w:eastAsia="Arial" w:cs="Arial" w:ascii="Arial" w:hAnsi="Arial"/>
          <w:sz w:val="24"/>
          <w:szCs w:val="24"/>
        </w:rPr>
      </w:r>
    </w:p>
    <w:p>
      <w:pPr>
        <w:pStyle w:val="Normal"/>
        <w:pBdr/>
        <w:tabs>
          <w:tab w:val="clear" w:pos="720"/>
          <w:tab w:val="left" w:pos="1134" w:leader="none"/>
          <w:tab w:val="left" w:pos="2268" w:leader="none"/>
          <w:tab w:val="left" w:pos="3402" w:leader="none"/>
          <w:tab w:val="left" w:pos="4536" w:leader="none"/>
          <w:tab w:val="left" w:pos="5670" w:leader="none"/>
          <w:tab w:val="left" w:pos="6804" w:leader="none"/>
          <w:tab w:val="left" w:pos="7938" w:leader="none"/>
          <w:tab w:val="left" w:pos="9072" w:leader="none"/>
          <w:tab w:val="left" w:pos="10206" w:leader="none"/>
          <w:tab w:val="left" w:pos="11340" w:leader="none"/>
        </w:tabs>
        <w:jc w:val="both"/>
        <w:rPr>
          <w:rFonts w:ascii="Verdana" w:hAnsi="Verdana" w:eastAsia="Verdana" w:cs="Verdana"/>
          <w:sz w:val="18"/>
          <w:szCs w:val="18"/>
        </w:rPr>
      </w:pPr>
      <w:r>
        <w:rPr>
          <w:rFonts w:eastAsia="Verdana" w:cs="Verdana" w:ascii="Verdana" w:hAnsi="Verdana"/>
          <w:b/>
          <w:sz w:val="18"/>
          <w:szCs w:val="18"/>
        </w:rPr>
        <w:t>4.1 -</w:t>
      </w:r>
      <w:r>
        <w:rPr>
          <w:rFonts w:eastAsia="Verdana" w:cs="Verdana" w:ascii="Verdana" w:hAnsi="Verdana"/>
          <w:sz w:val="18"/>
          <w:szCs w:val="18"/>
        </w:rPr>
        <w:t xml:space="preserve"> Os licitantes encaminharão, exclusivamente por meio do sistema eletrônico, a proposta </w:t>
      </w:r>
      <w:r>
        <w:rPr>
          <w:rFonts w:eastAsia="Verdana" w:cs="Verdana" w:ascii="Verdana" w:hAnsi="Verdana"/>
          <w:b/>
          <w:sz w:val="18"/>
          <w:szCs w:val="18"/>
        </w:rPr>
        <w:t>COM O VALOR TOTAL DO LOTE ÚNICO, até a data e o horário estabelecidos para abertura da sessão pública.</w:t>
      </w:r>
    </w:p>
    <w:p>
      <w:pPr>
        <w:pStyle w:val="Normal"/>
        <w:pBdr/>
        <w:tabs>
          <w:tab w:val="clear" w:pos="720"/>
          <w:tab w:val="left" w:pos="1134" w:leader="none"/>
          <w:tab w:val="left" w:pos="2268" w:leader="none"/>
          <w:tab w:val="left" w:pos="3402" w:leader="none"/>
          <w:tab w:val="left" w:pos="4536" w:leader="none"/>
          <w:tab w:val="left" w:pos="5670" w:leader="none"/>
          <w:tab w:val="left" w:pos="6804" w:leader="none"/>
          <w:tab w:val="left" w:pos="7938" w:leader="none"/>
          <w:tab w:val="left" w:pos="9072" w:leader="none"/>
          <w:tab w:val="left" w:pos="10206" w:leader="none"/>
          <w:tab w:val="left" w:pos="11340" w:leader="none"/>
        </w:tabs>
        <w:jc w:val="both"/>
        <w:rPr>
          <w:rFonts w:ascii="Verdana" w:hAnsi="Verdana" w:eastAsia="Verdana" w:cs="Verdana"/>
          <w:sz w:val="18"/>
          <w:szCs w:val="18"/>
        </w:rPr>
      </w:pPr>
      <w:r>
        <w:rPr>
          <w:rFonts w:eastAsia="Verdana" w:cs="Verdana" w:ascii="Verdana" w:hAnsi="Verdana"/>
          <w:sz w:val="18"/>
          <w:szCs w:val="18"/>
        </w:rPr>
        <w:tab/>
      </w:r>
    </w:p>
    <w:p>
      <w:pPr>
        <w:pStyle w:val="Normal"/>
        <w:jc w:val="both"/>
        <w:rPr>
          <w:rFonts w:ascii="Verdana" w:hAnsi="Verdana" w:eastAsia="Verdana" w:cs="Verdana"/>
          <w:sz w:val="18"/>
          <w:szCs w:val="18"/>
        </w:rPr>
      </w:pPr>
      <w:r>
        <w:rPr>
          <w:rFonts w:eastAsia="Verdana" w:cs="Verdana" w:ascii="Verdana" w:hAnsi="Verdana"/>
          <w:b/>
          <w:sz w:val="18"/>
          <w:szCs w:val="18"/>
        </w:rPr>
        <w:t>4.2 -</w:t>
      </w:r>
      <w:r>
        <w:rPr>
          <w:rFonts w:eastAsia="Verdana" w:cs="Verdana" w:ascii="Verdana" w:hAnsi="Verdana"/>
          <w:sz w:val="18"/>
          <w:szCs w:val="18"/>
        </w:rPr>
        <w:t xml:space="preserve"> A proposta comercial, com valores monetários em reais, deverá respeitar as especificações constantes do </w:t>
      </w:r>
      <w:r>
        <w:rPr>
          <w:rFonts w:eastAsia="Verdana" w:cs="Verdana" w:ascii="Verdana" w:hAnsi="Verdana"/>
          <w:b/>
          <w:sz w:val="18"/>
          <w:szCs w:val="18"/>
        </w:rPr>
        <w:t>Anexo I</w:t>
      </w:r>
      <w:r>
        <w:rPr>
          <w:rFonts w:eastAsia="Verdana" w:cs="Verdana" w:ascii="Verdana" w:hAnsi="Verdana"/>
          <w:sz w:val="18"/>
          <w:szCs w:val="18"/>
        </w:rPr>
        <w:t>;</w:t>
      </w:r>
    </w:p>
    <w:p>
      <w:pPr>
        <w:pStyle w:val="Normal"/>
        <w:tabs>
          <w:tab w:val="clear" w:pos="720"/>
          <w:tab w:val="left" w:pos="1134" w:leader="none"/>
          <w:tab w:val="left" w:pos="2268" w:leader="none"/>
          <w:tab w:val="left" w:pos="3402" w:leader="none"/>
          <w:tab w:val="left" w:pos="4536" w:leader="none"/>
          <w:tab w:val="left" w:pos="5670" w:leader="none"/>
          <w:tab w:val="left" w:pos="6804" w:leader="none"/>
          <w:tab w:val="left" w:pos="7938" w:leader="none"/>
          <w:tab w:val="left" w:pos="9072" w:leader="none"/>
          <w:tab w:val="left" w:pos="10206" w:leader="none"/>
          <w:tab w:val="left" w:pos="11340" w:leader="none"/>
        </w:tabs>
        <w:ind w:left="284" w:hanging="0"/>
        <w:jc w:val="both"/>
        <w:rPr>
          <w:rFonts w:ascii="Verdana" w:hAnsi="Verdana" w:eastAsia="Verdana" w:cs="Verdana"/>
          <w:b/>
          <w:b/>
          <w:sz w:val="18"/>
          <w:szCs w:val="18"/>
        </w:rPr>
      </w:pPr>
      <w:r>
        <w:rPr>
          <w:rFonts w:eastAsia="Verdana" w:cs="Verdana" w:ascii="Verdana" w:hAnsi="Verdana"/>
          <w:b/>
          <w:sz w:val="18"/>
          <w:szCs w:val="18"/>
        </w:rPr>
      </w:r>
    </w:p>
    <w:p>
      <w:pPr>
        <w:pStyle w:val="Normal"/>
        <w:tabs>
          <w:tab w:val="clear" w:pos="720"/>
          <w:tab w:val="left" w:pos="1134" w:leader="none"/>
          <w:tab w:val="left" w:pos="2268" w:leader="none"/>
          <w:tab w:val="left" w:pos="3402" w:leader="none"/>
          <w:tab w:val="left" w:pos="4536" w:leader="none"/>
          <w:tab w:val="left" w:pos="5670" w:leader="none"/>
          <w:tab w:val="left" w:pos="6804" w:leader="none"/>
          <w:tab w:val="left" w:pos="7938" w:leader="none"/>
          <w:tab w:val="left" w:pos="9072" w:leader="none"/>
          <w:tab w:val="left" w:pos="10206" w:leader="none"/>
          <w:tab w:val="left" w:pos="11340" w:leader="none"/>
        </w:tabs>
        <w:ind w:left="284" w:hanging="0"/>
        <w:jc w:val="both"/>
        <w:rPr>
          <w:rFonts w:ascii="Verdana" w:hAnsi="Verdana" w:eastAsia="Verdana" w:cs="Verdana"/>
          <w:b/>
          <w:b/>
          <w:sz w:val="18"/>
          <w:szCs w:val="18"/>
        </w:rPr>
      </w:pPr>
      <w:r>
        <w:rPr>
          <w:rFonts w:eastAsia="Verdana" w:cs="Verdana" w:ascii="Verdana" w:hAnsi="Verdana"/>
          <w:b/>
          <w:sz w:val="18"/>
          <w:szCs w:val="18"/>
        </w:rPr>
        <w:t xml:space="preserve">4.2.1 - </w:t>
      </w:r>
      <w:r>
        <w:rPr>
          <w:rFonts w:eastAsia="Verdana" w:cs="Verdana" w:ascii="Verdana" w:hAnsi="Verdana"/>
          <w:bCs/>
          <w:sz w:val="18"/>
          <w:szCs w:val="18"/>
        </w:rPr>
        <w:t>O valor total máximo a ser pago pelo</w:t>
      </w:r>
      <w:r>
        <w:rPr>
          <w:rFonts w:eastAsia="Verdana" w:cs="Verdana" w:ascii="Verdana" w:hAnsi="Verdana"/>
          <w:b/>
          <w:sz w:val="18"/>
          <w:szCs w:val="18"/>
        </w:rPr>
        <w:t xml:space="preserve"> LOTE ÚNICO </w:t>
      </w:r>
      <w:r>
        <w:rPr>
          <w:rFonts w:eastAsia="Verdana" w:cs="Verdana" w:ascii="Verdana" w:hAnsi="Verdana"/>
          <w:bCs/>
          <w:sz w:val="18"/>
          <w:szCs w:val="18"/>
        </w:rPr>
        <w:t>será de</w:t>
      </w:r>
      <w:r>
        <w:rPr>
          <w:rFonts w:eastAsia="Verdana" w:cs="Verdana" w:ascii="Verdana" w:hAnsi="Verdana"/>
          <w:b/>
          <w:sz w:val="18"/>
          <w:szCs w:val="18"/>
        </w:rPr>
        <w:t xml:space="preserve"> R$ 424.474,00 (quatrocentos e vinte e quatro mil quatrocentos e setenta e quatro reais).</w:t>
      </w:r>
    </w:p>
    <w:p>
      <w:pPr>
        <w:pStyle w:val="Normal"/>
        <w:ind w:left="284" w:hanging="0"/>
        <w:jc w:val="both"/>
        <w:rPr>
          <w:rFonts w:ascii="Verdana" w:hAnsi="Verdana" w:eastAsia="Verdana" w:cs="Verdana"/>
          <w:b/>
          <w:b/>
          <w:sz w:val="18"/>
          <w:szCs w:val="18"/>
        </w:rPr>
      </w:pPr>
      <w:r>
        <w:rPr>
          <w:rFonts w:eastAsia="Verdana" w:cs="Verdana" w:ascii="Verdana" w:hAnsi="Verdana"/>
          <w:b/>
          <w:sz w:val="18"/>
          <w:szCs w:val="18"/>
        </w:rPr>
      </w:r>
    </w:p>
    <w:p>
      <w:pPr>
        <w:pStyle w:val="Normal"/>
        <w:ind w:left="284" w:hanging="0"/>
        <w:jc w:val="both"/>
        <w:rPr>
          <w:rFonts w:ascii="Verdana" w:hAnsi="Verdana" w:eastAsia="Verdana" w:cs="Verdana"/>
          <w:b/>
          <w:b/>
          <w:sz w:val="18"/>
          <w:szCs w:val="18"/>
        </w:rPr>
      </w:pPr>
      <w:r>
        <w:rPr>
          <w:rFonts w:eastAsia="Verdana" w:cs="Verdana" w:ascii="Verdana" w:hAnsi="Verdana"/>
          <w:b/>
          <w:sz w:val="18"/>
          <w:szCs w:val="18"/>
        </w:rPr>
        <w:t>4.2.2 – Os valores unitários dos itens do Lote, não poderão ultrapassar os valores informados na Planilha do Anexo II.</w:t>
      </w:r>
    </w:p>
    <w:p>
      <w:pPr>
        <w:pStyle w:val="Normal"/>
        <w:ind w:left="284" w:hanging="0"/>
        <w:jc w:val="both"/>
        <w:rPr>
          <w:rFonts w:ascii="Verdana" w:hAnsi="Verdana" w:eastAsia="Verdana" w:cs="Verdana"/>
          <w:b/>
          <w:b/>
          <w:sz w:val="18"/>
          <w:szCs w:val="18"/>
        </w:rPr>
      </w:pPr>
      <w:r>
        <w:rPr>
          <w:rFonts w:eastAsia="Verdana" w:cs="Verdana" w:ascii="Verdana" w:hAnsi="Verdana"/>
          <w:b/>
          <w:sz w:val="18"/>
          <w:szCs w:val="18"/>
        </w:rPr>
      </w:r>
    </w:p>
    <w:p>
      <w:pPr>
        <w:pStyle w:val="Normal"/>
        <w:ind w:left="284" w:hanging="0"/>
        <w:jc w:val="both"/>
        <w:rPr>
          <w:rFonts w:ascii="Verdana" w:hAnsi="Verdana" w:eastAsia="Verdana" w:cs="Verdana"/>
          <w:b/>
          <w:b/>
          <w:sz w:val="18"/>
          <w:szCs w:val="18"/>
        </w:rPr>
      </w:pPr>
      <w:r>
        <w:rPr>
          <w:rFonts w:eastAsia="Verdana" w:cs="Verdana" w:ascii="Verdana" w:hAnsi="Verdana"/>
          <w:b/>
          <w:sz w:val="18"/>
          <w:szCs w:val="18"/>
        </w:rPr>
        <w:t xml:space="preserve">4.2.3 - Havendo divergências entre as especificações do código CATSER e as do Edital, prevalecerão as do Edital. </w:t>
      </w:r>
    </w:p>
    <w:p>
      <w:pPr>
        <w:pStyle w:val="Normal"/>
        <w:pBdr/>
        <w:tabs>
          <w:tab w:val="clear" w:pos="720"/>
          <w:tab w:val="left" w:pos="1134" w:leader="none"/>
          <w:tab w:val="left" w:pos="2268" w:leader="none"/>
          <w:tab w:val="left" w:pos="3402" w:leader="none"/>
          <w:tab w:val="left" w:pos="4536" w:leader="none"/>
          <w:tab w:val="left" w:pos="5670" w:leader="none"/>
          <w:tab w:val="left" w:pos="6804" w:leader="none"/>
          <w:tab w:val="left" w:pos="7938" w:leader="none"/>
          <w:tab w:val="left" w:pos="9072" w:leader="none"/>
          <w:tab w:val="left" w:pos="10206" w:leader="none"/>
          <w:tab w:val="left" w:pos="11340" w:leader="none"/>
        </w:tabs>
        <w:ind w:left="284" w:hanging="0"/>
        <w:jc w:val="both"/>
        <w:rPr>
          <w:rFonts w:ascii="Verdana" w:hAnsi="Verdana" w:eastAsia="Verdana" w:cs="Verdana"/>
          <w:b/>
          <w:b/>
          <w:sz w:val="18"/>
          <w:szCs w:val="18"/>
        </w:rPr>
      </w:pPr>
      <w:r>
        <w:rPr>
          <w:rFonts w:eastAsia="Verdana" w:cs="Verdana" w:ascii="Verdana" w:hAnsi="Verdana"/>
          <w:b/>
          <w:sz w:val="18"/>
          <w:szCs w:val="18"/>
        </w:rPr>
      </w:r>
    </w:p>
    <w:p>
      <w:pPr>
        <w:pStyle w:val="Normal"/>
        <w:jc w:val="both"/>
        <w:rPr>
          <w:rFonts w:ascii="Verdana" w:hAnsi="Verdana" w:eastAsia="Verdana" w:cs="Verdana"/>
          <w:b/>
          <w:b/>
          <w:sz w:val="18"/>
          <w:szCs w:val="18"/>
        </w:rPr>
      </w:pPr>
      <w:r>
        <w:rPr>
          <w:rFonts w:eastAsia="Verdana" w:cs="Verdana" w:ascii="Verdana" w:hAnsi="Verdana"/>
          <w:b/>
          <w:sz w:val="18"/>
          <w:szCs w:val="18"/>
        </w:rPr>
        <w:t xml:space="preserve">4.3 - A proposta somente poderá conter duas casas decimais e </w:t>
      </w:r>
      <w:r>
        <w:rPr>
          <w:rFonts w:eastAsia="Verdana" w:cs="Verdana" w:ascii="Verdana" w:hAnsi="Verdana"/>
          <w:b/>
          <w:sz w:val="18"/>
          <w:szCs w:val="18"/>
          <w:u w:val="single"/>
        </w:rPr>
        <w:t>será feito arredondamento para menos caso seja vencedora uma proposta com mais casas decimais.</w:t>
      </w:r>
    </w:p>
    <w:p>
      <w:pPr>
        <w:pStyle w:val="Normal"/>
        <w:pBdr/>
        <w:tabs>
          <w:tab w:val="clear" w:pos="720"/>
          <w:tab w:val="left" w:pos="1134" w:leader="none"/>
          <w:tab w:val="left" w:pos="2268" w:leader="none"/>
          <w:tab w:val="left" w:pos="3402" w:leader="none"/>
          <w:tab w:val="left" w:pos="4536" w:leader="none"/>
          <w:tab w:val="left" w:pos="5670" w:leader="none"/>
          <w:tab w:val="left" w:pos="6804" w:leader="none"/>
          <w:tab w:val="left" w:pos="7938" w:leader="none"/>
          <w:tab w:val="left" w:pos="9072" w:leader="none"/>
          <w:tab w:val="left" w:pos="10206" w:leader="none"/>
          <w:tab w:val="left" w:pos="11340" w:leader="none"/>
        </w:tabs>
        <w:jc w:val="both"/>
        <w:rPr>
          <w:rFonts w:ascii="Verdana" w:hAnsi="Verdana" w:eastAsia="Verdana" w:cs="Verdana"/>
          <w:strike/>
          <w:sz w:val="18"/>
          <w:szCs w:val="18"/>
        </w:rPr>
      </w:pPr>
      <w:r>
        <w:rPr>
          <w:rFonts w:eastAsia="Verdana" w:cs="Verdana" w:ascii="Verdana" w:hAnsi="Verdana"/>
          <w:strike/>
          <w:sz w:val="18"/>
          <w:szCs w:val="18"/>
        </w:rPr>
      </w:r>
    </w:p>
    <w:p>
      <w:pPr>
        <w:pStyle w:val="Normal"/>
        <w:pBdr/>
        <w:tabs>
          <w:tab w:val="clear" w:pos="720"/>
          <w:tab w:val="left" w:pos="1134" w:leader="none"/>
          <w:tab w:val="left" w:pos="2268" w:leader="none"/>
          <w:tab w:val="left" w:pos="3402" w:leader="none"/>
          <w:tab w:val="left" w:pos="4536" w:leader="none"/>
          <w:tab w:val="left" w:pos="5670" w:leader="none"/>
          <w:tab w:val="left" w:pos="6804" w:leader="none"/>
          <w:tab w:val="left" w:pos="7938" w:leader="none"/>
          <w:tab w:val="left" w:pos="9072" w:leader="none"/>
          <w:tab w:val="left" w:pos="10206" w:leader="none"/>
          <w:tab w:val="left" w:pos="11340" w:leader="none"/>
        </w:tabs>
        <w:jc w:val="both"/>
        <w:rPr>
          <w:rFonts w:ascii="Verdana" w:hAnsi="Verdana" w:eastAsia="Verdana" w:cs="Verdana"/>
          <w:sz w:val="18"/>
          <w:szCs w:val="18"/>
        </w:rPr>
      </w:pPr>
      <w:r>
        <w:rPr>
          <w:rFonts w:eastAsia="Verdana" w:cs="Verdana" w:ascii="Verdana" w:hAnsi="Verdana"/>
          <w:b/>
          <w:sz w:val="18"/>
          <w:szCs w:val="18"/>
        </w:rPr>
        <w:t xml:space="preserve">4.4 - </w:t>
      </w:r>
      <w:r>
        <w:rPr>
          <w:rFonts w:eastAsia="Verdana" w:cs="Verdana" w:ascii="Verdana" w:hAnsi="Verdana"/>
          <w:sz w:val="18"/>
          <w:szCs w:val="18"/>
        </w:rPr>
        <w:t>Todas as especificações do objeto contidas na proposta vinculam o licitante.</w:t>
      </w:r>
    </w:p>
    <w:p>
      <w:pPr>
        <w:pStyle w:val="Normal"/>
        <w:pBdr/>
        <w:tabs>
          <w:tab w:val="clear" w:pos="720"/>
          <w:tab w:val="left" w:pos="1134" w:leader="none"/>
          <w:tab w:val="left" w:pos="2268" w:leader="none"/>
          <w:tab w:val="left" w:pos="3402" w:leader="none"/>
          <w:tab w:val="left" w:pos="4536" w:leader="none"/>
          <w:tab w:val="left" w:pos="5670" w:leader="none"/>
          <w:tab w:val="left" w:pos="6804" w:leader="none"/>
          <w:tab w:val="left" w:pos="7938" w:leader="none"/>
          <w:tab w:val="left" w:pos="9072" w:leader="none"/>
          <w:tab w:val="left" w:pos="10206" w:leader="none"/>
          <w:tab w:val="left" w:pos="11340" w:leader="none"/>
        </w:tabs>
        <w:jc w:val="both"/>
        <w:rPr>
          <w:rFonts w:ascii="Verdana" w:hAnsi="Verdana" w:eastAsia="Verdana" w:cs="Verdana"/>
          <w:sz w:val="18"/>
          <w:szCs w:val="18"/>
        </w:rPr>
      </w:pPr>
      <w:r>
        <w:rPr>
          <w:rFonts w:eastAsia="Verdana" w:cs="Verdana" w:ascii="Verdana" w:hAnsi="Verdana"/>
          <w:sz w:val="18"/>
          <w:szCs w:val="18"/>
        </w:rPr>
      </w:r>
    </w:p>
    <w:p>
      <w:pPr>
        <w:pStyle w:val="Normal"/>
        <w:pBdr/>
        <w:tabs>
          <w:tab w:val="clear" w:pos="720"/>
          <w:tab w:val="left" w:pos="1134" w:leader="none"/>
          <w:tab w:val="left" w:pos="2268" w:leader="none"/>
          <w:tab w:val="left" w:pos="3402" w:leader="none"/>
          <w:tab w:val="left" w:pos="4536" w:leader="none"/>
          <w:tab w:val="left" w:pos="5670" w:leader="none"/>
          <w:tab w:val="left" w:pos="6804" w:leader="none"/>
          <w:tab w:val="left" w:pos="7938" w:leader="none"/>
          <w:tab w:val="left" w:pos="9072" w:leader="none"/>
          <w:tab w:val="left" w:pos="10206" w:leader="none"/>
          <w:tab w:val="left" w:pos="11340" w:leader="none"/>
        </w:tabs>
        <w:jc w:val="both"/>
        <w:rPr>
          <w:rFonts w:ascii="Verdana" w:hAnsi="Verdana" w:eastAsia="Verdana" w:cs="Verdana"/>
          <w:sz w:val="18"/>
          <w:szCs w:val="18"/>
        </w:rPr>
      </w:pPr>
      <w:r>
        <w:rPr>
          <w:rFonts w:eastAsia="Verdana" w:cs="Verdana" w:ascii="Verdana" w:hAnsi="Verdana"/>
          <w:b/>
          <w:sz w:val="18"/>
          <w:szCs w:val="18"/>
        </w:rPr>
        <w:t>4.5 -</w:t>
      </w:r>
      <w:r>
        <w:rPr>
          <w:rFonts w:eastAsia="Verdana" w:cs="Verdana" w:ascii="Verdana" w:hAnsi="Verdana"/>
          <w:sz w:val="18"/>
          <w:szCs w:val="18"/>
        </w:rPr>
        <w:t xml:space="preserve"> Nos valores propostos estarão inclusos todos os custos operacionais, encargos previdenciários, trabalhistas, tributários, comerciais e quaisquer outros que incidam direta ou indiretamente na execução do objeto.</w:t>
      </w:r>
    </w:p>
    <w:p>
      <w:pPr>
        <w:pStyle w:val="Normal"/>
        <w:pBdr/>
        <w:tabs>
          <w:tab w:val="clear" w:pos="720"/>
          <w:tab w:val="left" w:pos="1134" w:leader="none"/>
          <w:tab w:val="left" w:pos="2268" w:leader="none"/>
          <w:tab w:val="left" w:pos="3402" w:leader="none"/>
          <w:tab w:val="left" w:pos="4536" w:leader="none"/>
          <w:tab w:val="left" w:pos="5670" w:leader="none"/>
          <w:tab w:val="left" w:pos="6804" w:leader="none"/>
          <w:tab w:val="left" w:pos="7938" w:leader="none"/>
          <w:tab w:val="left" w:pos="9072" w:leader="none"/>
          <w:tab w:val="left" w:pos="10206" w:leader="none"/>
          <w:tab w:val="left" w:pos="11340" w:leader="none"/>
        </w:tabs>
        <w:jc w:val="both"/>
        <w:rPr>
          <w:rFonts w:ascii="Verdana" w:hAnsi="Verdana" w:eastAsia="Verdana" w:cs="Verdana"/>
          <w:sz w:val="18"/>
          <w:szCs w:val="18"/>
        </w:rPr>
      </w:pPr>
      <w:r>
        <w:rPr>
          <w:rFonts w:eastAsia="Verdana" w:cs="Verdana" w:ascii="Verdana" w:hAnsi="Verdana"/>
          <w:sz w:val="18"/>
          <w:szCs w:val="18"/>
        </w:rPr>
      </w:r>
    </w:p>
    <w:p>
      <w:pPr>
        <w:pStyle w:val="Normal"/>
        <w:pBdr/>
        <w:tabs>
          <w:tab w:val="clear" w:pos="720"/>
          <w:tab w:val="left" w:pos="1134" w:leader="none"/>
          <w:tab w:val="left" w:pos="2268" w:leader="none"/>
          <w:tab w:val="left" w:pos="3402" w:leader="none"/>
          <w:tab w:val="left" w:pos="4536" w:leader="none"/>
          <w:tab w:val="left" w:pos="5670" w:leader="none"/>
          <w:tab w:val="left" w:pos="6804" w:leader="none"/>
          <w:tab w:val="left" w:pos="7938" w:leader="none"/>
          <w:tab w:val="left" w:pos="9072" w:leader="none"/>
          <w:tab w:val="left" w:pos="10206" w:leader="none"/>
          <w:tab w:val="left" w:pos="11340" w:leader="none"/>
        </w:tabs>
        <w:jc w:val="both"/>
        <w:rPr>
          <w:rFonts w:ascii="Verdana" w:hAnsi="Verdana" w:eastAsia="Verdana" w:cs="Verdana"/>
          <w:sz w:val="18"/>
          <w:szCs w:val="18"/>
        </w:rPr>
      </w:pPr>
      <w:r>
        <w:rPr>
          <w:rFonts w:eastAsia="Verdana" w:cs="Verdana" w:ascii="Verdana" w:hAnsi="Verdana"/>
          <w:b/>
          <w:sz w:val="18"/>
          <w:szCs w:val="18"/>
        </w:rPr>
        <w:t xml:space="preserve">4.6 - </w:t>
      </w:r>
      <w:r>
        <w:rPr>
          <w:rFonts w:eastAsia="Verdana" w:cs="Verdana" w:ascii="Verdana" w:hAnsi="Verdana"/>
          <w:sz w:val="18"/>
          <w:szCs w:val="18"/>
        </w:rPr>
        <w:t>Os preços ofertados, tanto na proposta inicial, quanto na etapa de lances, serão de exclusiva responsabilidade do licitante, não lhe assistindo o direito de pleitear qualquer alteração, sob alegação de erro, omissão ou qualquer outro pretexto.</w:t>
      </w:r>
    </w:p>
    <w:p>
      <w:pPr>
        <w:pStyle w:val="Normal"/>
        <w:pBdr/>
        <w:tabs>
          <w:tab w:val="clear" w:pos="720"/>
          <w:tab w:val="left" w:pos="1134" w:leader="none"/>
          <w:tab w:val="left" w:pos="2268" w:leader="none"/>
          <w:tab w:val="left" w:pos="3402" w:leader="none"/>
          <w:tab w:val="left" w:pos="4536" w:leader="none"/>
          <w:tab w:val="left" w:pos="5670" w:leader="none"/>
          <w:tab w:val="left" w:pos="6804" w:leader="none"/>
          <w:tab w:val="left" w:pos="7938" w:leader="none"/>
          <w:tab w:val="left" w:pos="9072" w:leader="none"/>
          <w:tab w:val="left" w:pos="10206" w:leader="none"/>
          <w:tab w:val="left" w:pos="11340" w:leader="none"/>
        </w:tabs>
        <w:jc w:val="both"/>
        <w:rPr>
          <w:rFonts w:ascii="Verdana" w:hAnsi="Verdana" w:eastAsia="Verdana" w:cs="Verdana"/>
          <w:sz w:val="18"/>
          <w:szCs w:val="18"/>
        </w:rPr>
      </w:pPr>
      <w:r>
        <w:rPr>
          <w:rFonts w:eastAsia="Verdana" w:cs="Verdana" w:ascii="Verdana" w:hAnsi="Verdana"/>
          <w:sz w:val="18"/>
          <w:szCs w:val="18"/>
        </w:rPr>
      </w:r>
    </w:p>
    <w:p>
      <w:pPr>
        <w:pStyle w:val="Normal"/>
        <w:pBdr/>
        <w:tabs>
          <w:tab w:val="clear" w:pos="720"/>
          <w:tab w:val="left" w:pos="1134" w:leader="none"/>
          <w:tab w:val="left" w:pos="2268" w:leader="none"/>
          <w:tab w:val="left" w:pos="3402" w:leader="none"/>
          <w:tab w:val="left" w:pos="4536" w:leader="none"/>
          <w:tab w:val="left" w:pos="5670" w:leader="none"/>
          <w:tab w:val="left" w:pos="6804" w:leader="none"/>
          <w:tab w:val="left" w:pos="7938" w:leader="none"/>
          <w:tab w:val="left" w:pos="9072" w:leader="none"/>
          <w:tab w:val="left" w:pos="10206" w:leader="none"/>
          <w:tab w:val="left" w:pos="11340" w:leader="none"/>
        </w:tabs>
        <w:jc w:val="both"/>
        <w:rPr>
          <w:rFonts w:ascii="Verdana" w:hAnsi="Verdana" w:eastAsia="Verdana" w:cs="Verdana"/>
          <w:sz w:val="18"/>
          <w:szCs w:val="18"/>
        </w:rPr>
      </w:pPr>
      <w:r>
        <w:rPr>
          <w:rFonts w:eastAsia="Verdana" w:cs="Verdana" w:ascii="Verdana" w:hAnsi="Verdana"/>
          <w:b/>
          <w:sz w:val="18"/>
          <w:szCs w:val="18"/>
        </w:rPr>
        <w:t xml:space="preserve">4.7 - </w:t>
      </w:r>
      <w:r>
        <w:rPr>
          <w:rFonts w:eastAsia="Verdana" w:cs="Verdana" w:ascii="Verdana" w:hAnsi="Verdana"/>
          <w:sz w:val="18"/>
          <w:szCs w:val="18"/>
        </w:rPr>
        <w:t xml:space="preserve">A apresentação da proposta implica na </w:t>
      </w:r>
      <w:r>
        <w:rPr>
          <w:rFonts w:eastAsia="Verdana" w:cs="Verdana" w:ascii="Verdana" w:hAnsi="Verdana"/>
          <w:b/>
          <w:sz w:val="18"/>
          <w:szCs w:val="18"/>
        </w:rPr>
        <w:t xml:space="preserve">aceitação de todas as condições </w:t>
      </w:r>
      <w:r>
        <w:rPr>
          <w:rFonts w:eastAsia="Verdana" w:cs="Verdana" w:ascii="Verdana" w:hAnsi="Verdana"/>
          <w:sz w:val="18"/>
          <w:szCs w:val="18"/>
        </w:rPr>
        <w:t>deste edital, em especial:</w:t>
      </w:r>
    </w:p>
    <w:p>
      <w:pPr>
        <w:pStyle w:val="Normal"/>
        <w:pBdr/>
        <w:tabs>
          <w:tab w:val="clear" w:pos="720"/>
          <w:tab w:val="left" w:pos="1134" w:leader="none"/>
          <w:tab w:val="left" w:pos="2268" w:leader="none"/>
          <w:tab w:val="left" w:pos="3402" w:leader="none"/>
          <w:tab w:val="left" w:pos="4536" w:leader="none"/>
          <w:tab w:val="left" w:pos="5670" w:leader="none"/>
          <w:tab w:val="left" w:pos="6804" w:leader="none"/>
          <w:tab w:val="left" w:pos="7938" w:leader="none"/>
          <w:tab w:val="left" w:pos="9072" w:leader="none"/>
          <w:tab w:val="left" w:pos="10206" w:leader="none"/>
          <w:tab w:val="left" w:pos="11340" w:leader="none"/>
        </w:tabs>
        <w:ind w:left="284" w:hanging="0"/>
        <w:jc w:val="both"/>
        <w:rPr>
          <w:rFonts w:ascii="Verdana" w:hAnsi="Verdana" w:eastAsia="Verdana" w:cs="Verdana"/>
          <w:sz w:val="18"/>
          <w:szCs w:val="18"/>
        </w:rPr>
      </w:pPr>
      <w:r>
        <w:rPr>
          <w:rFonts w:eastAsia="Verdana" w:cs="Verdana" w:ascii="Verdana" w:hAnsi="Verdana"/>
          <w:b/>
          <w:sz w:val="18"/>
          <w:szCs w:val="18"/>
        </w:rPr>
        <w:t>a) Validade da proposta</w:t>
      </w:r>
      <w:r>
        <w:rPr>
          <w:rFonts w:eastAsia="Verdana" w:cs="Verdana" w:ascii="Verdana" w:hAnsi="Verdana"/>
          <w:sz w:val="18"/>
          <w:szCs w:val="18"/>
        </w:rPr>
        <w:t xml:space="preserve">, que não poderá ser inferior a </w:t>
      </w:r>
      <w:r>
        <w:rPr>
          <w:rFonts w:eastAsia="Verdana" w:cs="Verdana" w:ascii="Verdana" w:hAnsi="Verdana"/>
          <w:b/>
          <w:sz w:val="18"/>
          <w:szCs w:val="18"/>
        </w:rPr>
        <w:t xml:space="preserve">90 (noventa) </w:t>
      </w:r>
      <w:r>
        <w:rPr>
          <w:rFonts w:eastAsia="Verdana" w:cs="Verdana" w:ascii="Verdana" w:hAnsi="Verdana"/>
          <w:sz w:val="18"/>
          <w:szCs w:val="18"/>
        </w:rPr>
        <w:t>dias a serem contados da data da efetiva abertura das propostas;</w:t>
      </w:r>
    </w:p>
    <w:p>
      <w:pPr>
        <w:pStyle w:val="Normal"/>
        <w:pBdr/>
        <w:ind w:left="284" w:hanging="0"/>
        <w:jc w:val="both"/>
        <w:rPr>
          <w:rFonts w:ascii="Verdana" w:hAnsi="Verdana" w:eastAsia="Verdana" w:cs="Verdana"/>
          <w:sz w:val="18"/>
          <w:szCs w:val="18"/>
        </w:rPr>
      </w:pPr>
      <w:r>
        <w:rPr>
          <w:rFonts w:eastAsia="Verdana" w:cs="Verdana" w:ascii="Verdana" w:hAnsi="Verdana"/>
          <w:b/>
          <w:sz w:val="18"/>
          <w:szCs w:val="18"/>
        </w:rPr>
        <w:t>b)</w:t>
      </w:r>
      <w:r>
        <w:rPr>
          <w:rFonts w:eastAsia="Verdana" w:cs="Verdana" w:ascii="Verdana" w:hAnsi="Verdana"/>
          <w:sz w:val="18"/>
          <w:szCs w:val="18"/>
        </w:rPr>
        <w:t xml:space="preserve"> O objeto deverá estar em conformidade com as especificações constantes do </w:t>
      </w:r>
      <w:r>
        <w:rPr>
          <w:rFonts w:eastAsia="Verdana" w:cs="Verdana" w:ascii="Verdana" w:hAnsi="Verdana"/>
          <w:b/>
          <w:sz w:val="18"/>
          <w:szCs w:val="18"/>
        </w:rPr>
        <w:t xml:space="preserve">Anexo I, incluídos nos preços propostos </w:t>
      </w:r>
      <w:r>
        <w:rPr>
          <w:rFonts w:eastAsia="Verdana" w:cs="Verdana" w:ascii="Verdana" w:hAnsi="Verdana"/>
          <w:sz w:val="18"/>
          <w:szCs w:val="18"/>
        </w:rPr>
        <w:t>todos os custos com materiais, mão-de-obra, transportes, carga e descarga, bem como todos os elementos que garantam a prestação do objeto do presente Pregão dentro das exigências das normas, especificações e detalhes, remunerações e quaisquer outros encargos que incidam sobre a obrigação dessa prestação;</w:t>
      </w:r>
    </w:p>
    <w:p>
      <w:pPr>
        <w:pStyle w:val="Normal"/>
        <w:pBdr/>
        <w:ind w:left="284" w:hanging="0"/>
        <w:jc w:val="both"/>
        <w:rPr>
          <w:rFonts w:ascii="Verdana" w:hAnsi="Verdana" w:eastAsia="Verdana" w:cs="Verdana"/>
          <w:sz w:val="18"/>
          <w:szCs w:val="18"/>
        </w:rPr>
      </w:pPr>
      <w:r>
        <w:rPr>
          <w:rFonts w:eastAsia="Verdana" w:cs="Verdana" w:ascii="Verdana" w:hAnsi="Verdana"/>
          <w:b/>
          <w:sz w:val="18"/>
          <w:szCs w:val="18"/>
        </w:rPr>
        <w:t>c)</w:t>
      </w:r>
      <w:r>
        <w:rPr>
          <w:rFonts w:eastAsia="Verdana" w:cs="Verdana" w:ascii="Verdana" w:hAnsi="Verdana"/>
          <w:sz w:val="18"/>
          <w:szCs w:val="18"/>
        </w:rPr>
        <w:t xml:space="preserve"> Os </w:t>
      </w:r>
      <w:r>
        <w:rPr>
          <w:rFonts w:eastAsia="Verdana" w:cs="Verdana" w:ascii="Verdana" w:hAnsi="Verdana"/>
          <w:b/>
          <w:sz w:val="18"/>
          <w:szCs w:val="18"/>
        </w:rPr>
        <w:t>requisitos de entrega e prazos de execução</w:t>
      </w:r>
      <w:r>
        <w:rPr>
          <w:rFonts w:eastAsia="Verdana" w:cs="Verdana" w:ascii="Verdana" w:hAnsi="Verdana"/>
          <w:sz w:val="18"/>
          <w:szCs w:val="18"/>
        </w:rPr>
        <w:t xml:space="preserve"> estão previstos no Termo de Referência - Anexo I deste Edital;</w:t>
      </w:r>
    </w:p>
    <w:p>
      <w:pPr>
        <w:pStyle w:val="Normal"/>
        <w:ind w:left="284" w:hanging="0"/>
        <w:jc w:val="both"/>
        <w:rPr>
          <w:rFonts w:ascii="Verdana" w:hAnsi="Verdana" w:eastAsia="Verdana" w:cs="Verdana"/>
          <w:sz w:val="18"/>
          <w:szCs w:val="18"/>
        </w:rPr>
      </w:pPr>
      <w:r>
        <w:rPr>
          <w:rFonts w:eastAsia="Verdana" w:cs="Verdana" w:ascii="Verdana" w:hAnsi="Verdana"/>
          <w:b/>
          <w:sz w:val="18"/>
          <w:szCs w:val="18"/>
        </w:rPr>
        <w:t xml:space="preserve">d) Vigência da Ata: </w:t>
      </w:r>
      <w:r>
        <w:rPr>
          <w:rFonts w:eastAsia="Verdana" w:cs="Verdana" w:ascii="Verdana" w:hAnsi="Verdana"/>
          <w:sz w:val="18"/>
          <w:szCs w:val="18"/>
        </w:rPr>
        <w:t xml:space="preserve">A vigência da ata de registro de preços será de </w:t>
      </w:r>
      <w:r>
        <w:rPr>
          <w:rFonts w:eastAsia="Verdana" w:cs="Verdana" w:ascii="Verdana" w:hAnsi="Verdana"/>
          <w:b/>
          <w:sz w:val="18"/>
          <w:szCs w:val="18"/>
        </w:rPr>
        <w:t>01 (um) ano,</w:t>
      </w:r>
      <w:r>
        <w:rPr>
          <w:rFonts w:eastAsia="Verdana" w:cs="Verdana" w:ascii="Verdana" w:hAnsi="Verdana"/>
          <w:sz w:val="18"/>
          <w:szCs w:val="18"/>
        </w:rPr>
        <w:t xml:space="preserve"> a partir do dia da sua assinatura e prorrogável por igual período, desde que comprovado o preço vantajoso. O contrato decorrente da ata de registro de preços terá sua vigência estabelecida em conformidade com as disposições nela contidas.</w:t>
      </w:r>
    </w:p>
    <w:p>
      <w:pPr>
        <w:pStyle w:val="Normal"/>
        <w:ind w:left="284" w:hanging="0"/>
        <w:jc w:val="both"/>
        <w:rPr>
          <w:rFonts w:ascii="Verdana" w:hAnsi="Verdana" w:eastAsia="Verdana" w:cs="Verdana"/>
          <w:sz w:val="18"/>
          <w:szCs w:val="18"/>
        </w:rPr>
      </w:pPr>
      <w:r>
        <w:rPr>
          <w:rFonts w:eastAsia="Verdana" w:cs="Verdana" w:ascii="Verdana" w:hAnsi="Verdana"/>
          <w:b/>
          <w:sz w:val="18"/>
          <w:szCs w:val="18"/>
        </w:rPr>
        <w:t xml:space="preserve">e) GARANTIA DO OBJETO: </w:t>
      </w:r>
      <w:r>
        <w:rPr>
          <w:rFonts w:ascii="Verdana" w:hAnsi="Verdana"/>
          <w:color w:val="000000"/>
          <w:sz w:val="18"/>
          <w:szCs w:val="18"/>
        </w:rPr>
        <w:t>A garantia abaixo descrita deverá cobrir o serviço de substituição e todas as demais despesas para substituição do objeto defeituoso, sem nenhum ônus para a contratante.</w:t>
      </w:r>
    </w:p>
    <w:p>
      <w:pPr>
        <w:pStyle w:val="Normal"/>
        <w:ind w:left="567" w:hanging="0"/>
        <w:jc w:val="both"/>
        <w:rPr>
          <w:rFonts w:ascii="Verdana" w:hAnsi="Verdana"/>
          <w:color w:val="000000"/>
          <w:sz w:val="18"/>
          <w:szCs w:val="18"/>
        </w:rPr>
      </w:pPr>
      <w:r>
        <w:rPr>
          <w:rFonts w:eastAsia="Verdana" w:cs="Verdana" w:ascii="Verdana" w:hAnsi="Verdana"/>
          <w:b/>
          <w:bCs/>
          <w:sz w:val="18"/>
          <w:szCs w:val="18"/>
        </w:rPr>
        <w:t>i.</w:t>
      </w:r>
      <w:r>
        <w:rPr>
          <w:rFonts w:eastAsia="Verdana" w:cs="Verdana" w:ascii="Verdana" w:hAnsi="Verdana"/>
          <w:sz w:val="18"/>
          <w:szCs w:val="18"/>
        </w:rPr>
        <w:t xml:space="preserve"> </w:t>
      </w:r>
      <w:r>
        <w:rPr>
          <w:rFonts w:ascii="Verdana" w:hAnsi="Verdana"/>
          <w:color w:val="000000"/>
          <w:sz w:val="18"/>
          <w:szCs w:val="18"/>
        </w:rPr>
        <w:t xml:space="preserve">As </w:t>
      </w:r>
      <w:r>
        <w:rPr>
          <w:rFonts w:ascii="Verdana" w:hAnsi="Verdana"/>
          <w:b/>
          <w:bCs/>
          <w:color w:val="000000"/>
          <w:sz w:val="18"/>
          <w:szCs w:val="18"/>
        </w:rPr>
        <w:t>persianas</w:t>
      </w:r>
      <w:r>
        <w:rPr>
          <w:rFonts w:ascii="Verdana" w:hAnsi="Verdana"/>
          <w:color w:val="000000"/>
          <w:sz w:val="18"/>
          <w:szCs w:val="18"/>
        </w:rPr>
        <w:t xml:space="preserve"> devem ter garantia de </w:t>
      </w:r>
      <w:r>
        <w:rPr>
          <w:rFonts w:ascii="Verdana" w:hAnsi="Verdana"/>
          <w:b/>
          <w:bCs/>
          <w:color w:val="000000"/>
          <w:sz w:val="18"/>
          <w:szCs w:val="18"/>
        </w:rPr>
        <w:t>12 meses</w:t>
      </w:r>
      <w:r>
        <w:rPr>
          <w:rFonts w:ascii="Verdana" w:hAnsi="Verdana"/>
          <w:color w:val="000000"/>
          <w:sz w:val="18"/>
          <w:szCs w:val="18"/>
        </w:rPr>
        <w:t xml:space="preserve"> a partir da instalação;</w:t>
      </w:r>
    </w:p>
    <w:p>
      <w:pPr>
        <w:pStyle w:val="Normal"/>
        <w:ind w:left="567" w:hanging="0"/>
        <w:jc w:val="both"/>
        <w:rPr>
          <w:rFonts w:ascii="Verdana" w:hAnsi="Verdana"/>
          <w:color w:val="000000"/>
          <w:sz w:val="18"/>
          <w:szCs w:val="18"/>
        </w:rPr>
      </w:pPr>
      <w:r>
        <w:rPr>
          <w:rFonts w:ascii="Verdana" w:hAnsi="Verdana"/>
          <w:b/>
          <w:bCs/>
          <w:color w:val="000000"/>
          <w:sz w:val="18"/>
          <w:szCs w:val="18"/>
        </w:rPr>
        <w:t>ii.</w:t>
      </w:r>
      <w:r>
        <w:rPr>
          <w:rFonts w:ascii="Verdana" w:hAnsi="Verdana"/>
          <w:color w:val="000000"/>
          <w:sz w:val="18"/>
          <w:szCs w:val="18"/>
        </w:rPr>
        <w:t xml:space="preserve"> As </w:t>
      </w:r>
      <w:r>
        <w:rPr>
          <w:rFonts w:ascii="Verdana" w:hAnsi="Verdana"/>
          <w:b/>
          <w:bCs/>
          <w:color w:val="000000"/>
          <w:sz w:val="18"/>
          <w:szCs w:val="18"/>
        </w:rPr>
        <w:t>películas de controle solar</w:t>
      </w:r>
      <w:r>
        <w:rPr>
          <w:rFonts w:ascii="Verdana" w:hAnsi="Verdana"/>
          <w:color w:val="000000"/>
          <w:sz w:val="18"/>
          <w:szCs w:val="18"/>
        </w:rPr>
        <w:t xml:space="preserve"> terão garantia de </w:t>
      </w:r>
      <w:r>
        <w:rPr>
          <w:rFonts w:ascii="Verdana" w:hAnsi="Verdana"/>
          <w:b/>
          <w:bCs/>
          <w:color w:val="000000"/>
          <w:sz w:val="18"/>
          <w:szCs w:val="18"/>
        </w:rPr>
        <w:t>5 anos</w:t>
      </w:r>
      <w:r>
        <w:rPr>
          <w:rFonts w:ascii="Verdana" w:hAnsi="Verdana"/>
          <w:color w:val="000000"/>
          <w:sz w:val="18"/>
          <w:szCs w:val="18"/>
        </w:rPr>
        <w:t>, com certificado de garantia emitido pelo fabricante;</w:t>
      </w:r>
    </w:p>
    <w:p>
      <w:pPr>
        <w:pStyle w:val="Normal"/>
        <w:ind w:left="567" w:hanging="0"/>
        <w:jc w:val="both"/>
        <w:rPr>
          <w:rFonts w:ascii="Verdana" w:hAnsi="Verdana" w:eastAsia="Verdana" w:cs="Verdana"/>
          <w:sz w:val="18"/>
          <w:szCs w:val="18"/>
        </w:rPr>
      </w:pPr>
      <w:r>
        <w:rPr>
          <w:rFonts w:ascii="Verdana" w:hAnsi="Verdana"/>
          <w:b/>
          <w:bCs/>
          <w:color w:val="000000"/>
          <w:sz w:val="18"/>
          <w:szCs w:val="18"/>
        </w:rPr>
        <w:t>iii.</w:t>
      </w:r>
      <w:r>
        <w:rPr>
          <w:rFonts w:ascii="Verdana" w:hAnsi="Verdana"/>
          <w:color w:val="000000"/>
          <w:sz w:val="18"/>
          <w:szCs w:val="18"/>
        </w:rPr>
        <w:t xml:space="preserve"> As </w:t>
      </w:r>
      <w:r>
        <w:rPr>
          <w:rFonts w:ascii="Verdana" w:hAnsi="Verdana"/>
          <w:b/>
          <w:bCs/>
          <w:color w:val="000000"/>
          <w:sz w:val="18"/>
          <w:szCs w:val="18"/>
        </w:rPr>
        <w:t>películas sólidas</w:t>
      </w:r>
      <w:r>
        <w:rPr>
          <w:rFonts w:ascii="Verdana" w:hAnsi="Verdana"/>
          <w:color w:val="000000"/>
          <w:sz w:val="18"/>
          <w:szCs w:val="18"/>
        </w:rPr>
        <w:t xml:space="preserve"> deverão ter garantia de </w:t>
      </w:r>
      <w:r>
        <w:rPr>
          <w:rFonts w:ascii="Verdana" w:hAnsi="Verdana"/>
          <w:b/>
          <w:bCs/>
          <w:color w:val="000000"/>
          <w:sz w:val="18"/>
          <w:szCs w:val="18"/>
        </w:rPr>
        <w:t>12 meses.</w:t>
      </w:r>
    </w:p>
    <w:p>
      <w:pPr>
        <w:pStyle w:val="Normal"/>
        <w:pBdr/>
        <w:tabs>
          <w:tab w:val="clear" w:pos="720"/>
          <w:tab w:val="left" w:pos="1134" w:leader="none"/>
          <w:tab w:val="left" w:pos="2268" w:leader="none"/>
          <w:tab w:val="left" w:pos="3402" w:leader="none"/>
          <w:tab w:val="left" w:pos="4536" w:leader="none"/>
          <w:tab w:val="left" w:pos="5670" w:leader="none"/>
          <w:tab w:val="left" w:pos="6804" w:leader="none"/>
          <w:tab w:val="left" w:pos="7938" w:leader="none"/>
          <w:tab w:val="left" w:pos="9072" w:leader="none"/>
          <w:tab w:val="left" w:pos="10206" w:leader="none"/>
          <w:tab w:val="left" w:pos="11340" w:leader="none"/>
        </w:tabs>
        <w:jc w:val="both"/>
        <w:rPr>
          <w:rFonts w:ascii="Verdana" w:hAnsi="Verdana" w:eastAsia="Verdana" w:cs="Verdana"/>
          <w:sz w:val="18"/>
          <w:szCs w:val="18"/>
        </w:rPr>
      </w:pPr>
      <w:r>
        <w:rPr>
          <w:rFonts w:eastAsia="Verdana" w:cs="Verdana" w:ascii="Verdana" w:hAnsi="Verdana"/>
          <w:sz w:val="18"/>
          <w:szCs w:val="18"/>
        </w:rPr>
      </w:r>
    </w:p>
    <w:p>
      <w:pPr>
        <w:pStyle w:val="Normal"/>
        <w:pBdr/>
        <w:tabs>
          <w:tab w:val="clear" w:pos="720"/>
          <w:tab w:val="left" w:pos="555" w:leader="none"/>
          <w:tab w:val="left" w:pos="2268" w:leader="none"/>
          <w:tab w:val="left" w:pos="3402" w:leader="none"/>
          <w:tab w:val="left" w:pos="4536" w:leader="none"/>
          <w:tab w:val="left" w:pos="5670" w:leader="none"/>
          <w:tab w:val="left" w:pos="6804" w:leader="none"/>
          <w:tab w:val="left" w:pos="7938" w:leader="none"/>
          <w:tab w:val="left" w:pos="9072" w:leader="none"/>
          <w:tab w:val="left" w:pos="10206" w:leader="none"/>
          <w:tab w:val="left" w:pos="11340" w:leader="none"/>
        </w:tabs>
        <w:jc w:val="both"/>
        <w:rPr>
          <w:rFonts w:ascii="Verdana" w:hAnsi="Verdana" w:eastAsia="Verdana" w:cs="Verdana"/>
          <w:sz w:val="18"/>
          <w:szCs w:val="18"/>
        </w:rPr>
      </w:pPr>
      <w:r>
        <w:rPr>
          <w:rFonts w:eastAsia="Verdana" w:cs="Verdana" w:ascii="Verdana" w:hAnsi="Verdana"/>
          <w:b/>
          <w:sz w:val="18"/>
          <w:szCs w:val="18"/>
        </w:rPr>
        <w:t xml:space="preserve">4.8 - </w:t>
      </w:r>
      <w:r>
        <w:rPr>
          <w:rFonts w:eastAsia="Verdana" w:cs="Verdana" w:ascii="Verdana" w:hAnsi="Verdana"/>
          <w:sz w:val="18"/>
          <w:szCs w:val="18"/>
        </w:rPr>
        <w:t>A apresentação das propostas implica obrigatoriedade do cumprimento das disposições nelas contidas, em conformidade com o que dispõe o Termo de Referência - Anexo I,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pPr>
        <w:pStyle w:val="Normal"/>
        <w:pBdr/>
        <w:tabs>
          <w:tab w:val="clear" w:pos="720"/>
          <w:tab w:val="left" w:pos="1134" w:leader="none"/>
          <w:tab w:val="left" w:pos="2268" w:leader="none"/>
          <w:tab w:val="left" w:pos="3402" w:leader="none"/>
          <w:tab w:val="left" w:pos="4536" w:leader="none"/>
          <w:tab w:val="left" w:pos="5670" w:leader="none"/>
          <w:tab w:val="left" w:pos="6804" w:leader="none"/>
          <w:tab w:val="left" w:pos="7938" w:leader="none"/>
          <w:tab w:val="left" w:pos="9072" w:leader="none"/>
          <w:tab w:val="left" w:pos="10206" w:leader="none"/>
          <w:tab w:val="left" w:pos="11340" w:leader="none"/>
        </w:tabs>
        <w:jc w:val="both"/>
        <w:rPr>
          <w:rFonts w:ascii="Verdana" w:hAnsi="Verdana" w:eastAsia="Verdana" w:cs="Verdana"/>
          <w:sz w:val="18"/>
          <w:szCs w:val="18"/>
        </w:rPr>
      </w:pPr>
      <w:r>
        <w:rPr>
          <w:rFonts w:eastAsia="Verdana" w:cs="Verdana" w:ascii="Verdana" w:hAnsi="Verdana"/>
          <w:sz w:val="18"/>
          <w:szCs w:val="18"/>
        </w:rPr>
      </w:r>
    </w:p>
    <w:p>
      <w:pPr>
        <w:pStyle w:val="Normal"/>
        <w:pBdr/>
        <w:shd w:val="clear" w:color="auto" w:fill="C0C0C0"/>
        <w:tabs>
          <w:tab w:val="clear" w:pos="720"/>
          <w:tab w:val="left" w:pos="1134" w:leader="none"/>
          <w:tab w:val="left" w:pos="2268" w:leader="none"/>
          <w:tab w:val="left" w:pos="3402" w:leader="none"/>
          <w:tab w:val="left" w:pos="4536" w:leader="none"/>
          <w:tab w:val="left" w:pos="5670" w:leader="none"/>
          <w:tab w:val="left" w:pos="6804" w:leader="none"/>
          <w:tab w:val="left" w:pos="7938" w:leader="none"/>
          <w:tab w:val="left" w:pos="9072" w:leader="none"/>
          <w:tab w:val="left" w:pos="10206" w:leader="none"/>
          <w:tab w:val="left" w:pos="11340" w:leader="none"/>
        </w:tabs>
        <w:jc w:val="both"/>
        <w:rPr>
          <w:rFonts w:ascii="Verdana" w:hAnsi="Verdana" w:eastAsia="Verdana" w:cs="Verdana"/>
          <w:b/>
          <w:b/>
          <w:sz w:val="18"/>
          <w:szCs w:val="18"/>
        </w:rPr>
      </w:pPr>
      <w:r>
        <w:rPr>
          <w:rFonts w:eastAsia="Verdana" w:cs="Verdana" w:ascii="Verdana" w:hAnsi="Verdana"/>
          <w:b/>
          <w:sz w:val="18"/>
          <w:szCs w:val="18"/>
        </w:rPr>
        <w:t>5.  DA ABERTURA DA SESSÃO, CLASSIFICAÇÃO DAS PROPOSTAS E FORMULAÇÃO DE LANCES</w:t>
      </w:r>
    </w:p>
    <w:p>
      <w:pPr>
        <w:pStyle w:val="Normal"/>
        <w:pBdr/>
        <w:tabs>
          <w:tab w:val="clear" w:pos="720"/>
          <w:tab w:val="left" w:pos="1134" w:leader="none"/>
          <w:tab w:val="left" w:pos="2268" w:leader="none"/>
          <w:tab w:val="left" w:pos="3402" w:leader="none"/>
          <w:tab w:val="left" w:pos="4536" w:leader="none"/>
          <w:tab w:val="left" w:pos="5670" w:leader="none"/>
          <w:tab w:val="left" w:pos="6804" w:leader="none"/>
          <w:tab w:val="left" w:pos="7938" w:leader="none"/>
          <w:tab w:val="left" w:pos="9072" w:leader="none"/>
          <w:tab w:val="left" w:pos="10206" w:leader="none"/>
          <w:tab w:val="left" w:pos="11340" w:leader="none"/>
        </w:tabs>
        <w:jc w:val="both"/>
        <w:rPr>
          <w:rFonts w:ascii="Verdana" w:hAnsi="Verdana" w:eastAsia="Verdana" w:cs="Verdana"/>
          <w:b/>
          <w:b/>
          <w:sz w:val="18"/>
          <w:szCs w:val="18"/>
        </w:rPr>
      </w:pPr>
      <w:r>
        <w:rPr>
          <w:rFonts w:eastAsia="Verdana" w:cs="Verdana" w:ascii="Verdana" w:hAnsi="Verdana"/>
          <w:b/>
          <w:sz w:val="18"/>
          <w:szCs w:val="18"/>
        </w:rPr>
      </w:r>
    </w:p>
    <w:p>
      <w:pPr>
        <w:pStyle w:val="Normal"/>
        <w:pBdr/>
        <w:tabs>
          <w:tab w:val="clear" w:pos="720"/>
          <w:tab w:val="left" w:pos="1134" w:leader="none"/>
          <w:tab w:val="left" w:pos="2268" w:leader="none"/>
          <w:tab w:val="left" w:pos="3402" w:leader="none"/>
          <w:tab w:val="left" w:pos="4536" w:leader="none"/>
          <w:tab w:val="left" w:pos="5670" w:leader="none"/>
          <w:tab w:val="left" w:pos="6804" w:leader="none"/>
          <w:tab w:val="left" w:pos="7938" w:leader="none"/>
          <w:tab w:val="left" w:pos="9072" w:leader="none"/>
          <w:tab w:val="left" w:pos="10206" w:leader="none"/>
          <w:tab w:val="left" w:pos="11340" w:leader="none"/>
        </w:tabs>
        <w:jc w:val="both"/>
        <w:rPr>
          <w:rFonts w:ascii="Verdana" w:hAnsi="Verdana" w:eastAsia="Verdana" w:cs="Verdana"/>
          <w:sz w:val="18"/>
          <w:szCs w:val="18"/>
        </w:rPr>
      </w:pPr>
      <w:r>
        <w:rPr>
          <w:rFonts w:eastAsia="Verdana" w:cs="Verdana" w:ascii="Verdana" w:hAnsi="Verdana"/>
          <w:b/>
          <w:sz w:val="18"/>
          <w:szCs w:val="18"/>
        </w:rPr>
        <w:t>5.1 -</w:t>
      </w:r>
      <w:r>
        <w:rPr>
          <w:rFonts w:eastAsia="Verdana" w:cs="Verdana" w:ascii="Verdana" w:hAnsi="Verdana"/>
          <w:sz w:val="18"/>
          <w:szCs w:val="18"/>
        </w:rPr>
        <w:t xml:space="preserve"> A abertura da presente licitação dar-se-á automaticamente em sessão pública, por meio de sistema eletrônico, na data, horário e local indicados neste Edital.</w:t>
      </w:r>
    </w:p>
    <w:p>
      <w:pPr>
        <w:pStyle w:val="Normal"/>
        <w:pBdr/>
        <w:tabs>
          <w:tab w:val="clear" w:pos="720"/>
          <w:tab w:val="left" w:pos="1134" w:leader="none"/>
          <w:tab w:val="left" w:pos="2268" w:leader="none"/>
          <w:tab w:val="left" w:pos="3402" w:leader="none"/>
          <w:tab w:val="left" w:pos="4536" w:leader="none"/>
          <w:tab w:val="left" w:pos="5670" w:leader="none"/>
          <w:tab w:val="left" w:pos="6804" w:leader="none"/>
          <w:tab w:val="left" w:pos="7938" w:leader="none"/>
          <w:tab w:val="left" w:pos="9072" w:leader="none"/>
          <w:tab w:val="left" w:pos="10206" w:leader="none"/>
          <w:tab w:val="left" w:pos="11340" w:leader="none"/>
        </w:tabs>
        <w:jc w:val="both"/>
        <w:rPr>
          <w:rFonts w:ascii="Verdana" w:hAnsi="Verdana" w:eastAsia="Verdana" w:cs="Verdana"/>
          <w:sz w:val="18"/>
          <w:szCs w:val="18"/>
        </w:rPr>
      </w:pPr>
      <w:r>
        <w:rPr>
          <w:rFonts w:eastAsia="Verdana" w:cs="Verdana" w:ascii="Verdana" w:hAnsi="Verdana"/>
          <w:sz w:val="18"/>
          <w:szCs w:val="18"/>
        </w:rPr>
      </w:r>
    </w:p>
    <w:p>
      <w:pPr>
        <w:pStyle w:val="Normal"/>
        <w:pBdr/>
        <w:tabs>
          <w:tab w:val="clear" w:pos="720"/>
          <w:tab w:val="left" w:pos="1134" w:leader="none"/>
          <w:tab w:val="left" w:pos="2268" w:leader="none"/>
          <w:tab w:val="left" w:pos="3402" w:leader="none"/>
          <w:tab w:val="left" w:pos="4536" w:leader="none"/>
          <w:tab w:val="left" w:pos="5670" w:leader="none"/>
          <w:tab w:val="left" w:pos="6804" w:leader="none"/>
          <w:tab w:val="left" w:pos="7938" w:leader="none"/>
          <w:tab w:val="left" w:pos="9072" w:leader="none"/>
          <w:tab w:val="left" w:pos="10206" w:leader="none"/>
          <w:tab w:val="left" w:pos="11340" w:leader="none"/>
        </w:tabs>
        <w:jc w:val="both"/>
        <w:rPr>
          <w:rFonts w:ascii="Verdana" w:hAnsi="Verdana" w:eastAsia="Verdana" w:cs="Verdana"/>
          <w:sz w:val="18"/>
          <w:szCs w:val="18"/>
        </w:rPr>
      </w:pPr>
      <w:r>
        <w:rPr>
          <w:rFonts w:eastAsia="Verdana" w:cs="Verdana" w:ascii="Verdana" w:hAnsi="Verdana"/>
          <w:b/>
          <w:sz w:val="18"/>
          <w:szCs w:val="18"/>
        </w:rPr>
        <w:t>5.2 -</w:t>
      </w:r>
      <w:r>
        <w:rPr>
          <w:rFonts w:eastAsia="Verdana" w:cs="Verdana" w:ascii="Verdana" w:hAnsi="Verdana"/>
          <w:sz w:val="18"/>
          <w:szCs w:val="18"/>
        </w:rPr>
        <w:t xml:space="preserve"> Será desclassificada a proposta que identifique o licitante.</w:t>
      </w:r>
    </w:p>
    <w:p>
      <w:pPr>
        <w:pStyle w:val="Normal"/>
        <w:pBdr/>
        <w:tabs>
          <w:tab w:val="clear" w:pos="720"/>
          <w:tab w:val="left" w:pos="1134" w:leader="none"/>
          <w:tab w:val="left" w:pos="2268" w:leader="none"/>
          <w:tab w:val="left" w:pos="3402" w:leader="none"/>
          <w:tab w:val="left" w:pos="4536" w:leader="none"/>
          <w:tab w:val="left" w:pos="5670" w:leader="none"/>
          <w:tab w:val="left" w:pos="6804" w:leader="none"/>
          <w:tab w:val="left" w:pos="7938" w:leader="none"/>
          <w:tab w:val="left" w:pos="9072" w:leader="none"/>
          <w:tab w:val="left" w:pos="10206" w:leader="none"/>
          <w:tab w:val="left" w:pos="11340" w:leader="none"/>
        </w:tabs>
        <w:jc w:val="both"/>
        <w:rPr>
          <w:rFonts w:ascii="Verdana" w:hAnsi="Verdana" w:eastAsia="Verdana" w:cs="Verdana"/>
          <w:sz w:val="18"/>
          <w:szCs w:val="18"/>
        </w:rPr>
      </w:pPr>
      <w:r>
        <w:rPr>
          <w:rFonts w:eastAsia="Verdana" w:cs="Verdana" w:ascii="Verdana" w:hAnsi="Verdana"/>
          <w:sz w:val="18"/>
          <w:szCs w:val="18"/>
        </w:rPr>
      </w:r>
    </w:p>
    <w:p>
      <w:pPr>
        <w:pStyle w:val="Normal"/>
        <w:pBdr/>
        <w:tabs>
          <w:tab w:val="clear" w:pos="720"/>
          <w:tab w:val="left" w:pos="1134" w:leader="none"/>
          <w:tab w:val="left" w:pos="2268" w:leader="none"/>
          <w:tab w:val="left" w:pos="3402" w:leader="none"/>
          <w:tab w:val="left" w:pos="4536" w:leader="none"/>
          <w:tab w:val="left" w:pos="5670" w:leader="none"/>
          <w:tab w:val="left" w:pos="6804" w:leader="none"/>
          <w:tab w:val="left" w:pos="7938" w:leader="none"/>
          <w:tab w:val="left" w:pos="9072" w:leader="none"/>
          <w:tab w:val="left" w:pos="10206" w:leader="none"/>
          <w:tab w:val="left" w:pos="11340" w:leader="none"/>
        </w:tabs>
        <w:jc w:val="both"/>
        <w:rPr>
          <w:rFonts w:ascii="Verdana" w:hAnsi="Verdana" w:eastAsia="Verdana" w:cs="Verdana"/>
          <w:sz w:val="18"/>
          <w:szCs w:val="18"/>
        </w:rPr>
      </w:pPr>
      <w:r>
        <w:rPr>
          <w:rFonts w:eastAsia="Verdana" w:cs="Verdana" w:ascii="Verdana" w:hAnsi="Verdana"/>
          <w:b/>
          <w:sz w:val="18"/>
          <w:szCs w:val="18"/>
        </w:rPr>
        <w:t>5.3 -</w:t>
      </w:r>
      <w:r>
        <w:rPr>
          <w:rFonts w:eastAsia="Verdana" w:cs="Verdana" w:ascii="Verdana" w:hAnsi="Verdana"/>
          <w:sz w:val="18"/>
          <w:szCs w:val="18"/>
        </w:rPr>
        <w:t xml:space="preserve"> A desclassificação será sempre fundamentada e registrada no sistema, com acompanhamento em tempo real por todos os participantes.</w:t>
      </w:r>
    </w:p>
    <w:p>
      <w:pPr>
        <w:pStyle w:val="Normal"/>
        <w:pBdr/>
        <w:tabs>
          <w:tab w:val="clear" w:pos="720"/>
          <w:tab w:val="left" w:pos="1134" w:leader="none"/>
          <w:tab w:val="left" w:pos="2268" w:leader="none"/>
          <w:tab w:val="left" w:pos="3402" w:leader="none"/>
          <w:tab w:val="left" w:pos="4536" w:leader="none"/>
          <w:tab w:val="left" w:pos="5670" w:leader="none"/>
          <w:tab w:val="left" w:pos="6804" w:leader="none"/>
          <w:tab w:val="left" w:pos="7938" w:leader="none"/>
          <w:tab w:val="left" w:pos="9072" w:leader="none"/>
          <w:tab w:val="left" w:pos="10206" w:leader="none"/>
          <w:tab w:val="left" w:pos="11340" w:leader="none"/>
        </w:tabs>
        <w:jc w:val="both"/>
        <w:rPr>
          <w:rFonts w:ascii="Verdana" w:hAnsi="Verdana" w:eastAsia="Verdana" w:cs="Verdana"/>
          <w:sz w:val="18"/>
          <w:szCs w:val="18"/>
        </w:rPr>
      </w:pPr>
      <w:r>
        <w:rPr>
          <w:rFonts w:eastAsia="Verdana" w:cs="Verdana" w:ascii="Verdana" w:hAnsi="Verdana"/>
          <w:sz w:val="18"/>
          <w:szCs w:val="18"/>
        </w:rPr>
      </w:r>
    </w:p>
    <w:p>
      <w:pPr>
        <w:pStyle w:val="Normal"/>
        <w:pBdr/>
        <w:tabs>
          <w:tab w:val="clear" w:pos="720"/>
          <w:tab w:val="left" w:pos="1134" w:leader="none"/>
          <w:tab w:val="left" w:pos="2268" w:leader="none"/>
          <w:tab w:val="left" w:pos="3402" w:leader="none"/>
          <w:tab w:val="left" w:pos="4536" w:leader="none"/>
          <w:tab w:val="left" w:pos="5670" w:leader="none"/>
          <w:tab w:val="left" w:pos="6804" w:leader="none"/>
          <w:tab w:val="left" w:pos="7938" w:leader="none"/>
          <w:tab w:val="left" w:pos="9072" w:leader="none"/>
          <w:tab w:val="left" w:pos="10206" w:leader="none"/>
          <w:tab w:val="left" w:pos="11340" w:leader="none"/>
        </w:tabs>
        <w:jc w:val="both"/>
        <w:rPr>
          <w:rFonts w:ascii="Verdana" w:hAnsi="Verdana" w:eastAsia="Verdana" w:cs="Verdana"/>
          <w:sz w:val="18"/>
          <w:szCs w:val="18"/>
        </w:rPr>
      </w:pPr>
      <w:r>
        <w:rPr>
          <w:rFonts w:eastAsia="Verdana" w:cs="Verdana" w:ascii="Verdana" w:hAnsi="Verdana"/>
          <w:b/>
          <w:sz w:val="18"/>
          <w:szCs w:val="18"/>
        </w:rPr>
        <w:t>5.4 -</w:t>
      </w:r>
      <w:r>
        <w:rPr>
          <w:rFonts w:eastAsia="Verdana" w:cs="Verdana" w:ascii="Verdana" w:hAnsi="Verdana"/>
          <w:sz w:val="18"/>
          <w:szCs w:val="18"/>
        </w:rPr>
        <w:t xml:space="preserve"> A não desclassificação da proposta não impede o seu julgamento definitivo em sentido contrário, levado a efeito na fase de aceitação.</w:t>
      </w:r>
    </w:p>
    <w:p>
      <w:pPr>
        <w:pStyle w:val="Normal"/>
        <w:pBdr/>
        <w:tabs>
          <w:tab w:val="clear" w:pos="720"/>
          <w:tab w:val="left" w:pos="1134" w:leader="none"/>
          <w:tab w:val="left" w:pos="2268" w:leader="none"/>
          <w:tab w:val="left" w:pos="3402" w:leader="none"/>
          <w:tab w:val="left" w:pos="4536" w:leader="none"/>
          <w:tab w:val="left" w:pos="5670" w:leader="none"/>
          <w:tab w:val="left" w:pos="6804" w:leader="none"/>
          <w:tab w:val="left" w:pos="7938" w:leader="none"/>
          <w:tab w:val="left" w:pos="9072" w:leader="none"/>
          <w:tab w:val="left" w:pos="10206" w:leader="none"/>
          <w:tab w:val="left" w:pos="11340" w:leader="none"/>
        </w:tabs>
        <w:jc w:val="both"/>
        <w:rPr>
          <w:rFonts w:ascii="Verdana" w:hAnsi="Verdana" w:eastAsia="Verdana" w:cs="Verdana"/>
          <w:b/>
          <w:b/>
          <w:sz w:val="18"/>
          <w:szCs w:val="18"/>
        </w:rPr>
      </w:pPr>
      <w:r>
        <w:rPr>
          <w:rFonts w:eastAsia="Verdana" w:cs="Verdana" w:ascii="Verdana" w:hAnsi="Verdana"/>
          <w:b/>
          <w:sz w:val="18"/>
          <w:szCs w:val="18"/>
        </w:rPr>
      </w:r>
    </w:p>
    <w:p>
      <w:pPr>
        <w:pStyle w:val="Normal"/>
        <w:pBdr/>
        <w:tabs>
          <w:tab w:val="clear" w:pos="720"/>
          <w:tab w:val="left" w:pos="1134" w:leader="none"/>
          <w:tab w:val="left" w:pos="2268" w:leader="none"/>
          <w:tab w:val="left" w:pos="3402" w:leader="none"/>
          <w:tab w:val="left" w:pos="4536" w:leader="none"/>
          <w:tab w:val="left" w:pos="5670" w:leader="none"/>
          <w:tab w:val="left" w:pos="6804" w:leader="none"/>
          <w:tab w:val="left" w:pos="7938" w:leader="none"/>
          <w:tab w:val="left" w:pos="9072" w:leader="none"/>
          <w:tab w:val="left" w:pos="10206" w:leader="none"/>
          <w:tab w:val="left" w:pos="11340" w:leader="none"/>
        </w:tabs>
        <w:jc w:val="both"/>
        <w:rPr>
          <w:rFonts w:ascii="Verdana" w:hAnsi="Verdana" w:eastAsia="Verdana" w:cs="Verdana"/>
          <w:sz w:val="18"/>
          <w:szCs w:val="18"/>
        </w:rPr>
      </w:pPr>
      <w:r>
        <w:rPr>
          <w:rFonts w:eastAsia="Verdana" w:cs="Verdana" w:ascii="Verdana" w:hAnsi="Verdana"/>
          <w:b/>
          <w:sz w:val="18"/>
          <w:szCs w:val="18"/>
        </w:rPr>
        <w:t xml:space="preserve">5.5 - </w:t>
      </w:r>
      <w:r>
        <w:rPr>
          <w:rFonts w:eastAsia="Verdana" w:cs="Verdana" w:ascii="Verdana" w:hAnsi="Verdana"/>
          <w:sz w:val="18"/>
          <w:szCs w:val="18"/>
        </w:rPr>
        <w:t>O sistema ordenará automaticamente as propostas classificadas, sendo que somente estas participarão da fase de lances.</w:t>
      </w:r>
    </w:p>
    <w:p>
      <w:pPr>
        <w:pStyle w:val="Normal"/>
        <w:pBdr/>
        <w:tabs>
          <w:tab w:val="clear" w:pos="720"/>
          <w:tab w:val="left" w:pos="1134" w:leader="none"/>
          <w:tab w:val="left" w:pos="2268" w:leader="none"/>
          <w:tab w:val="left" w:pos="3402" w:leader="none"/>
          <w:tab w:val="left" w:pos="4536" w:leader="none"/>
          <w:tab w:val="left" w:pos="5670" w:leader="none"/>
          <w:tab w:val="left" w:pos="6804" w:leader="none"/>
          <w:tab w:val="left" w:pos="7938" w:leader="none"/>
          <w:tab w:val="left" w:pos="9072" w:leader="none"/>
          <w:tab w:val="left" w:pos="10206" w:leader="none"/>
          <w:tab w:val="left" w:pos="11340" w:leader="none"/>
        </w:tabs>
        <w:jc w:val="both"/>
        <w:rPr>
          <w:rFonts w:ascii="Verdana" w:hAnsi="Verdana" w:eastAsia="Verdana" w:cs="Verdana"/>
          <w:sz w:val="18"/>
          <w:szCs w:val="18"/>
        </w:rPr>
      </w:pPr>
      <w:r>
        <w:rPr>
          <w:rFonts w:eastAsia="Verdana" w:cs="Verdana" w:ascii="Verdana" w:hAnsi="Verdana"/>
          <w:sz w:val="18"/>
          <w:szCs w:val="18"/>
        </w:rPr>
      </w:r>
    </w:p>
    <w:p>
      <w:pPr>
        <w:pStyle w:val="Normal"/>
        <w:pBdr/>
        <w:tabs>
          <w:tab w:val="clear" w:pos="720"/>
          <w:tab w:val="left" w:pos="1134" w:leader="none"/>
          <w:tab w:val="left" w:pos="2268" w:leader="none"/>
          <w:tab w:val="left" w:pos="3402" w:leader="none"/>
          <w:tab w:val="left" w:pos="4536" w:leader="none"/>
          <w:tab w:val="left" w:pos="5670" w:leader="none"/>
          <w:tab w:val="left" w:pos="6804" w:leader="none"/>
          <w:tab w:val="left" w:pos="7938" w:leader="none"/>
          <w:tab w:val="left" w:pos="9072" w:leader="none"/>
          <w:tab w:val="left" w:pos="10206" w:leader="none"/>
          <w:tab w:val="left" w:pos="11340" w:leader="none"/>
        </w:tabs>
        <w:jc w:val="both"/>
        <w:rPr>
          <w:rFonts w:ascii="Verdana" w:hAnsi="Verdana" w:eastAsia="Verdana" w:cs="Verdana"/>
          <w:sz w:val="18"/>
          <w:szCs w:val="18"/>
        </w:rPr>
      </w:pPr>
      <w:r>
        <w:rPr>
          <w:rFonts w:eastAsia="Verdana" w:cs="Verdana" w:ascii="Verdana" w:hAnsi="Verdana"/>
          <w:b/>
          <w:sz w:val="18"/>
          <w:szCs w:val="18"/>
        </w:rPr>
        <w:t>5.6 -</w:t>
      </w:r>
      <w:r>
        <w:rPr>
          <w:rFonts w:eastAsia="Verdana" w:cs="Verdana" w:ascii="Verdana" w:hAnsi="Verdana"/>
          <w:sz w:val="18"/>
          <w:szCs w:val="18"/>
        </w:rPr>
        <w:t xml:space="preserve"> O sistema disponibilizará campo próprio para troca de mensagens entre o Pregoeiro e os licitantes.</w:t>
      </w:r>
    </w:p>
    <w:p>
      <w:pPr>
        <w:pStyle w:val="Normal"/>
        <w:pBdr/>
        <w:tabs>
          <w:tab w:val="clear" w:pos="720"/>
          <w:tab w:val="left" w:pos="1134" w:leader="none"/>
          <w:tab w:val="left" w:pos="2268" w:leader="none"/>
          <w:tab w:val="left" w:pos="3402" w:leader="none"/>
          <w:tab w:val="left" w:pos="4536" w:leader="none"/>
          <w:tab w:val="left" w:pos="5670" w:leader="none"/>
          <w:tab w:val="left" w:pos="6804" w:leader="none"/>
          <w:tab w:val="left" w:pos="7938" w:leader="none"/>
          <w:tab w:val="left" w:pos="9072" w:leader="none"/>
          <w:tab w:val="left" w:pos="10206" w:leader="none"/>
          <w:tab w:val="left" w:pos="11340" w:leader="none"/>
        </w:tabs>
        <w:jc w:val="both"/>
        <w:rPr>
          <w:rFonts w:ascii="Verdana" w:hAnsi="Verdana" w:eastAsia="Verdana" w:cs="Verdana"/>
          <w:sz w:val="18"/>
          <w:szCs w:val="18"/>
        </w:rPr>
      </w:pPr>
      <w:r>
        <w:rPr>
          <w:rFonts w:eastAsia="Verdana" w:cs="Verdana" w:ascii="Verdana" w:hAnsi="Verdana"/>
          <w:sz w:val="18"/>
          <w:szCs w:val="18"/>
        </w:rPr>
      </w:r>
    </w:p>
    <w:p>
      <w:pPr>
        <w:pStyle w:val="Normal"/>
        <w:pBdr/>
        <w:tabs>
          <w:tab w:val="clear" w:pos="720"/>
          <w:tab w:val="left" w:pos="1134" w:leader="none"/>
          <w:tab w:val="left" w:pos="2268" w:leader="none"/>
          <w:tab w:val="left" w:pos="3402" w:leader="none"/>
          <w:tab w:val="left" w:pos="4536" w:leader="none"/>
          <w:tab w:val="left" w:pos="5670" w:leader="none"/>
          <w:tab w:val="left" w:pos="6804" w:leader="none"/>
          <w:tab w:val="left" w:pos="7938" w:leader="none"/>
          <w:tab w:val="left" w:pos="9072" w:leader="none"/>
          <w:tab w:val="left" w:pos="10206" w:leader="none"/>
          <w:tab w:val="left" w:pos="11340" w:leader="none"/>
        </w:tabs>
        <w:jc w:val="both"/>
        <w:rPr>
          <w:rFonts w:ascii="Verdana" w:hAnsi="Verdana" w:eastAsia="Verdana" w:cs="Verdana"/>
          <w:sz w:val="18"/>
          <w:szCs w:val="18"/>
        </w:rPr>
      </w:pPr>
      <w:r>
        <w:rPr>
          <w:rFonts w:eastAsia="Verdana" w:cs="Verdana" w:ascii="Verdana" w:hAnsi="Verdana"/>
          <w:b/>
          <w:sz w:val="18"/>
          <w:szCs w:val="18"/>
        </w:rPr>
        <w:t>5.7 -</w:t>
      </w:r>
      <w:r>
        <w:rPr>
          <w:rFonts w:eastAsia="Verdana" w:cs="Verdana" w:ascii="Verdana" w:hAnsi="Verdana"/>
          <w:sz w:val="18"/>
          <w:szCs w:val="18"/>
        </w:rPr>
        <w:t xml:space="preserve"> Iniciada a etapa competitiva, os licitantes deverão encaminhar lances exclusivamente por meio de sistema eletrônico, sendo imediatamente informados do seu recebimento e do valor consignado no registro.</w:t>
      </w:r>
    </w:p>
    <w:p>
      <w:pPr>
        <w:pStyle w:val="Normal"/>
        <w:pBdr/>
        <w:tabs>
          <w:tab w:val="clear" w:pos="720"/>
          <w:tab w:val="left" w:pos="1134" w:leader="none"/>
          <w:tab w:val="left" w:pos="2268" w:leader="none"/>
          <w:tab w:val="left" w:pos="3402" w:leader="none"/>
          <w:tab w:val="left" w:pos="4536" w:leader="none"/>
          <w:tab w:val="left" w:pos="5670" w:leader="none"/>
          <w:tab w:val="left" w:pos="6804" w:leader="none"/>
          <w:tab w:val="left" w:pos="7938" w:leader="none"/>
          <w:tab w:val="left" w:pos="9072" w:leader="none"/>
          <w:tab w:val="left" w:pos="10206" w:leader="none"/>
          <w:tab w:val="left" w:pos="11340" w:leader="none"/>
        </w:tabs>
        <w:jc w:val="both"/>
        <w:rPr>
          <w:rFonts w:ascii="Verdana" w:hAnsi="Verdana" w:eastAsia="Verdana" w:cs="Verdana"/>
          <w:sz w:val="18"/>
          <w:szCs w:val="18"/>
        </w:rPr>
      </w:pPr>
      <w:r>
        <w:rPr>
          <w:rFonts w:eastAsia="Verdana" w:cs="Verdana" w:ascii="Verdana" w:hAnsi="Verdana"/>
          <w:sz w:val="18"/>
          <w:szCs w:val="18"/>
        </w:rPr>
      </w:r>
    </w:p>
    <w:p>
      <w:pPr>
        <w:pStyle w:val="Normal"/>
        <w:pBdr/>
        <w:tabs>
          <w:tab w:val="clear" w:pos="720"/>
          <w:tab w:val="left" w:pos="1134" w:leader="none"/>
          <w:tab w:val="left" w:pos="2268" w:leader="none"/>
          <w:tab w:val="left" w:pos="3402" w:leader="none"/>
          <w:tab w:val="left" w:pos="4536" w:leader="none"/>
          <w:tab w:val="left" w:pos="5670" w:leader="none"/>
          <w:tab w:val="left" w:pos="6804" w:leader="none"/>
          <w:tab w:val="left" w:pos="7938" w:leader="none"/>
          <w:tab w:val="left" w:pos="9072" w:leader="none"/>
          <w:tab w:val="left" w:pos="10206" w:leader="none"/>
          <w:tab w:val="left" w:pos="11340" w:leader="none"/>
        </w:tabs>
        <w:jc w:val="both"/>
        <w:rPr>
          <w:rFonts w:ascii="Verdana" w:hAnsi="Verdana" w:eastAsia="Verdana" w:cs="Verdana"/>
          <w:sz w:val="18"/>
          <w:szCs w:val="18"/>
        </w:rPr>
      </w:pPr>
      <w:r>
        <w:rPr>
          <w:rFonts w:eastAsia="Verdana" w:cs="Verdana" w:ascii="Verdana" w:hAnsi="Verdana"/>
          <w:b/>
          <w:sz w:val="18"/>
          <w:szCs w:val="18"/>
        </w:rPr>
        <w:t>5.8 -</w:t>
      </w:r>
      <w:r>
        <w:rPr>
          <w:rFonts w:eastAsia="Verdana" w:cs="Verdana" w:ascii="Verdana" w:hAnsi="Verdana"/>
          <w:sz w:val="18"/>
          <w:szCs w:val="18"/>
        </w:rPr>
        <w:t xml:space="preserve"> O lance será ofertado pelo valor</w:t>
      </w:r>
      <w:r>
        <w:rPr>
          <w:rFonts w:eastAsia="Verdana" w:cs="Verdana" w:ascii="Verdana" w:hAnsi="Verdana"/>
          <w:b/>
          <w:sz w:val="18"/>
          <w:szCs w:val="18"/>
        </w:rPr>
        <w:t xml:space="preserve"> total do LOTE.</w:t>
      </w:r>
    </w:p>
    <w:p>
      <w:pPr>
        <w:pStyle w:val="Normal"/>
        <w:pBdr/>
        <w:tabs>
          <w:tab w:val="clear" w:pos="720"/>
          <w:tab w:val="left" w:pos="1134" w:leader="none"/>
          <w:tab w:val="left" w:pos="2268" w:leader="none"/>
          <w:tab w:val="left" w:pos="3402" w:leader="none"/>
          <w:tab w:val="left" w:pos="4536" w:leader="none"/>
          <w:tab w:val="left" w:pos="5670" w:leader="none"/>
          <w:tab w:val="left" w:pos="6804" w:leader="none"/>
          <w:tab w:val="left" w:pos="7938" w:leader="none"/>
          <w:tab w:val="left" w:pos="9072" w:leader="none"/>
          <w:tab w:val="left" w:pos="10206" w:leader="none"/>
          <w:tab w:val="left" w:pos="11340" w:leader="none"/>
        </w:tabs>
        <w:jc w:val="both"/>
        <w:rPr>
          <w:rFonts w:ascii="Verdana" w:hAnsi="Verdana" w:eastAsia="Verdana" w:cs="Verdana"/>
          <w:sz w:val="18"/>
          <w:szCs w:val="18"/>
        </w:rPr>
      </w:pPr>
      <w:r>
        <w:rPr>
          <w:rFonts w:eastAsia="Verdana" w:cs="Verdana" w:ascii="Verdana" w:hAnsi="Verdana"/>
          <w:sz w:val="18"/>
          <w:szCs w:val="18"/>
        </w:rPr>
      </w:r>
    </w:p>
    <w:p>
      <w:pPr>
        <w:pStyle w:val="Normal"/>
        <w:pBdr/>
        <w:tabs>
          <w:tab w:val="clear" w:pos="720"/>
          <w:tab w:val="left" w:pos="1134" w:leader="none"/>
          <w:tab w:val="left" w:pos="2268" w:leader="none"/>
          <w:tab w:val="left" w:pos="3402" w:leader="none"/>
          <w:tab w:val="left" w:pos="4536" w:leader="none"/>
          <w:tab w:val="left" w:pos="5670" w:leader="none"/>
          <w:tab w:val="left" w:pos="6804" w:leader="none"/>
          <w:tab w:val="left" w:pos="7938" w:leader="none"/>
          <w:tab w:val="left" w:pos="9072" w:leader="none"/>
          <w:tab w:val="left" w:pos="10206" w:leader="none"/>
          <w:tab w:val="left" w:pos="11340" w:leader="none"/>
        </w:tabs>
        <w:jc w:val="both"/>
        <w:rPr>
          <w:rFonts w:ascii="Verdana" w:hAnsi="Verdana" w:eastAsia="Verdana" w:cs="Verdana"/>
          <w:sz w:val="18"/>
          <w:szCs w:val="18"/>
        </w:rPr>
      </w:pPr>
      <w:r>
        <w:rPr>
          <w:rFonts w:eastAsia="Verdana" w:cs="Verdana" w:ascii="Verdana" w:hAnsi="Verdana"/>
          <w:b/>
          <w:sz w:val="18"/>
          <w:szCs w:val="18"/>
        </w:rPr>
        <w:t>5.9 -</w:t>
      </w:r>
      <w:r>
        <w:rPr>
          <w:rFonts w:eastAsia="Verdana" w:cs="Verdana" w:ascii="Verdana" w:hAnsi="Verdana"/>
          <w:sz w:val="18"/>
          <w:szCs w:val="18"/>
        </w:rPr>
        <w:t xml:space="preserve"> Os licitantes poderão oferecer lances sucessivos, observando o horário fixado para abertura da sessão e as regras estabelecidas no Edital.</w:t>
      </w:r>
    </w:p>
    <w:p>
      <w:pPr>
        <w:pStyle w:val="Normal"/>
        <w:pBdr/>
        <w:tabs>
          <w:tab w:val="clear" w:pos="720"/>
          <w:tab w:val="left" w:pos="1134" w:leader="none"/>
          <w:tab w:val="left" w:pos="2268" w:leader="none"/>
          <w:tab w:val="left" w:pos="3402" w:leader="none"/>
          <w:tab w:val="left" w:pos="4536" w:leader="none"/>
          <w:tab w:val="left" w:pos="5670" w:leader="none"/>
          <w:tab w:val="left" w:pos="6804" w:leader="none"/>
          <w:tab w:val="left" w:pos="7938" w:leader="none"/>
          <w:tab w:val="left" w:pos="9072" w:leader="none"/>
          <w:tab w:val="left" w:pos="10206" w:leader="none"/>
          <w:tab w:val="left" w:pos="11340" w:leader="none"/>
        </w:tabs>
        <w:jc w:val="both"/>
        <w:rPr>
          <w:rFonts w:ascii="Verdana" w:hAnsi="Verdana" w:eastAsia="Verdana" w:cs="Verdana"/>
          <w:sz w:val="18"/>
          <w:szCs w:val="18"/>
        </w:rPr>
      </w:pPr>
      <w:r>
        <w:rPr>
          <w:rFonts w:eastAsia="Verdana" w:cs="Verdana" w:ascii="Verdana" w:hAnsi="Verdana"/>
          <w:sz w:val="18"/>
          <w:szCs w:val="18"/>
        </w:rPr>
      </w:r>
    </w:p>
    <w:p>
      <w:pPr>
        <w:pStyle w:val="Normal"/>
        <w:pBdr/>
        <w:tabs>
          <w:tab w:val="clear" w:pos="720"/>
          <w:tab w:val="left" w:pos="1134" w:leader="none"/>
          <w:tab w:val="left" w:pos="2268" w:leader="none"/>
          <w:tab w:val="left" w:pos="3402" w:leader="none"/>
          <w:tab w:val="left" w:pos="4536" w:leader="none"/>
          <w:tab w:val="left" w:pos="5670" w:leader="none"/>
          <w:tab w:val="left" w:pos="6804" w:leader="none"/>
          <w:tab w:val="left" w:pos="7938" w:leader="none"/>
          <w:tab w:val="left" w:pos="9072" w:leader="none"/>
          <w:tab w:val="left" w:pos="10206" w:leader="none"/>
          <w:tab w:val="left" w:pos="11340" w:leader="none"/>
        </w:tabs>
        <w:jc w:val="both"/>
        <w:rPr>
          <w:rFonts w:ascii="Verdana" w:hAnsi="Verdana" w:eastAsia="Verdana" w:cs="Verdana"/>
          <w:sz w:val="18"/>
          <w:szCs w:val="18"/>
        </w:rPr>
      </w:pPr>
      <w:r>
        <w:rPr>
          <w:rFonts w:eastAsia="Verdana" w:cs="Verdana" w:ascii="Verdana" w:hAnsi="Verdana"/>
          <w:b/>
          <w:sz w:val="18"/>
          <w:szCs w:val="18"/>
        </w:rPr>
        <w:t>5.10 -</w:t>
      </w:r>
      <w:r>
        <w:rPr>
          <w:rFonts w:eastAsia="Verdana" w:cs="Verdana" w:ascii="Verdana" w:hAnsi="Verdana"/>
          <w:sz w:val="18"/>
          <w:szCs w:val="18"/>
        </w:rPr>
        <w:t xml:space="preserve"> O licitante somente poderá oferecer lance de valor inferior ou percentual de desconto superior ao último por ele ofertado e registrado pelo sistema.</w:t>
      </w:r>
    </w:p>
    <w:p>
      <w:pPr>
        <w:pStyle w:val="Normal"/>
        <w:pBdr/>
        <w:tabs>
          <w:tab w:val="clear" w:pos="720"/>
          <w:tab w:val="left" w:pos="1134" w:leader="none"/>
          <w:tab w:val="left" w:pos="2268" w:leader="none"/>
          <w:tab w:val="left" w:pos="3402" w:leader="none"/>
          <w:tab w:val="left" w:pos="4536" w:leader="none"/>
          <w:tab w:val="left" w:pos="5670" w:leader="none"/>
          <w:tab w:val="left" w:pos="6804" w:leader="none"/>
          <w:tab w:val="left" w:pos="7938" w:leader="none"/>
          <w:tab w:val="left" w:pos="9072" w:leader="none"/>
          <w:tab w:val="left" w:pos="10206" w:leader="none"/>
          <w:tab w:val="left" w:pos="11340" w:leader="none"/>
        </w:tabs>
        <w:jc w:val="both"/>
        <w:rPr>
          <w:rFonts w:ascii="Verdana" w:hAnsi="Verdana" w:eastAsia="Verdana" w:cs="Verdana"/>
          <w:sz w:val="18"/>
          <w:szCs w:val="18"/>
        </w:rPr>
      </w:pPr>
      <w:r>
        <w:rPr>
          <w:rFonts w:eastAsia="Verdana" w:cs="Verdana" w:ascii="Verdana" w:hAnsi="Verdana"/>
          <w:sz w:val="18"/>
          <w:szCs w:val="18"/>
        </w:rPr>
      </w:r>
    </w:p>
    <w:p>
      <w:pPr>
        <w:pStyle w:val="Normal"/>
        <w:pBdr/>
        <w:tabs>
          <w:tab w:val="clear" w:pos="720"/>
          <w:tab w:val="left" w:pos="1134" w:leader="none"/>
          <w:tab w:val="left" w:pos="2268" w:leader="none"/>
          <w:tab w:val="left" w:pos="3402" w:leader="none"/>
          <w:tab w:val="left" w:pos="4536" w:leader="none"/>
          <w:tab w:val="left" w:pos="5670" w:leader="none"/>
          <w:tab w:val="left" w:pos="6804" w:leader="none"/>
          <w:tab w:val="left" w:pos="7938" w:leader="none"/>
          <w:tab w:val="left" w:pos="9072" w:leader="none"/>
          <w:tab w:val="left" w:pos="10206" w:leader="none"/>
          <w:tab w:val="left" w:pos="11340" w:leader="none"/>
        </w:tabs>
        <w:jc w:val="both"/>
        <w:rPr>
          <w:rFonts w:ascii="Verdana" w:hAnsi="Verdana" w:eastAsia="Verdana" w:cs="Verdana"/>
          <w:sz w:val="18"/>
          <w:szCs w:val="18"/>
        </w:rPr>
      </w:pPr>
      <w:r>
        <w:rPr>
          <w:rFonts w:eastAsia="Verdana" w:cs="Verdana" w:ascii="Verdana" w:hAnsi="Verdana"/>
          <w:b/>
          <w:sz w:val="18"/>
          <w:szCs w:val="18"/>
        </w:rPr>
        <w:t>5.11 -</w:t>
      </w:r>
      <w:r>
        <w:rPr>
          <w:rFonts w:eastAsia="Verdana" w:cs="Verdana" w:ascii="Verdana" w:hAnsi="Verdana"/>
          <w:sz w:val="18"/>
          <w:szCs w:val="18"/>
        </w:rPr>
        <w:t xml:space="preserve"> O licitante poderá, uma única vez, excluir seu último lance ofertado, no intervalo de quinze segundos após o registro no sistema, na hipótese de lance inconsistente ou inexequível.</w:t>
      </w:r>
    </w:p>
    <w:p>
      <w:pPr>
        <w:pStyle w:val="Normal"/>
        <w:pBdr/>
        <w:tabs>
          <w:tab w:val="clear" w:pos="720"/>
          <w:tab w:val="left" w:pos="1134" w:leader="none"/>
          <w:tab w:val="left" w:pos="2268" w:leader="none"/>
          <w:tab w:val="left" w:pos="3402" w:leader="none"/>
          <w:tab w:val="left" w:pos="4536" w:leader="none"/>
          <w:tab w:val="left" w:pos="5670" w:leader="none"/>
          <w:tab w:val="left" w:pos="6804" w:leader="none"/>
          <w:tab w:val="left" w:pos="7938" w:leader="none"/>
          <w:tab w:val="left" w:pos="9072" w:leader="none"/>
          <w:tab w:val="left" w:pos="10206" w:leader="none"/>
          <w:tab w:val="left" w:pos="11340" w:leader="none"/>
        </w:tabs>
        <w:jc w:val="both"/>
        <w:rPr>
          <w:rFonts w:ascii="Verdana" w:hAnsi="Verdana" w:eastAsia="Verdana" w:cs="Verdana"/>
          <w:sz w:val="18"/>
          <w:szCs w:val="18"/>
        </w:rPr>
      </w:pPr>
      <w:r>
        <w:rPr>
          <w:rFonts w:eastAsia="Verdana" w:cs="Verdana" w:ascii="Verdana" w:hAnsi="Verdana"/>
          <w:sz w:val="18"/>
          <w:szCs w:val="18"/>
        </w:rPr>
      </w:r>
    </w:p>
    <w:p>
      <w:pPr>
        <w:pStyle w:val="Normal"/>
        <w:pBdr/>
        <w:tabs>
          <w:tab w:val="clear" w:pos="720"/>
          <w:tab w:val="left" w:pos="1134" w:leader="none"/>
          <w:tab w:val="left" w:pos="2268" w:leader="none"/>
          <w:tab w:val="left" w:pos="3402" w:leader="none"/>
          <w:tab w:val="left" w:pos="4536" w:leader="none"/>
          <w:tab w:val="left" w:pos="5670" w:leader="none"/>
          <w:tab w:val="left" w:pos="6804" w:leader="none"/>
          <w:tab w:val="left" w:pos="7938" w:leader="none"/>
          <w:tab w:val="left" w:pos="9072" w:leader="none"/>
          <w:tab w:val="left" w:pos="10206" w:leader="none"/>
          <w:tab w:val="left" w:pos="11340" w:leader="none"/>
        </w:tabs>
        <w:jc w:val="both"/>
        <w:rPr>
          <w:rFonts w:ascii="Verdana" w:hAnsi="Verdana" w:eastAsia="Verdana" w:cs="Verdana"/>
          <w:sz w:val="18"/>
          <w:szCs w:val="18"/>
        </w:rPr>
      </w:pPr>
      <w:r>
        <w:rPr>
          <w:rFonts w:eastAsia="Verdana" w:cs="Verdana" w:ascii="Verdana" w:hAnsi="Verdana"/>
          <w:b/>
          <w:sz w:val="18"/>
          <w:szCs w:val="18"/>
        </w:rPr>
        <w:t>5.12 -</w:t>
      </w:r>
      <w:r>
        <w:rPr>
          <w:rFonts w:eastAsia="Verdana" w:cs="Verdana" w:ascii="Verdana" w:hAnsi="Verdana"/>
          <w:sz w:val="18"/>
          <w:szCs w:val="18"/>
        </w:rPr>
        <w:t xml:space="preserve"> O procedimento seguirá de acordo com o modo de disputa </w:t>
      </w:r>
      <w:r>
        <w:rPr>
          <w:rFonts w:eastAsia="Verdana" w:cs="Verdana" w:ascii="Verdana" w:hAnsi="Verdana"/>
          <w:b/>
          <w:sz w:val="18"/>
          <w:szCs w:val="18"/>
        </w:rPr>
        <w:t>ABERTO E FECHADO</w:t>
      </w:r>
      <w:r>
        <w:rPr>
          <w:rFonts w:eastAsia="Verdana" w:cs="Verdana" w:ascii="Verdana" w:hAnsi="Verdana"/>
          <w:sz w:val="18"/>
          <w:szCs w:val="18"/>
        </w:rPr>
        <w:t>, no qual os licitantes apresentarão lances públicos e sucessivos, com lance final e fechado.</w:t>
      </w:r>
    </w:p>
    <w:p>
      <w:pPr>
        <w:pStyle w:val="Normal"/>
        <w:pBdr/>
        <w:tabs>
          <w:tab w:val="clear" w:pos="720"/>
          <w:tab w:val="left" w:pos="1134" w:leader="none"/>
          <w:tab w:val="left" w:pos="2268" w:leader="none"/>
          <w:tab w:val="left" w:pos="3402" w:leader="none"/>
          <w:tab w:val="left" w:pos="4536" w:leader="none"/>
          <w:tab w:val="left" w:pos="5670" w:leader="none"/>
          <w:tab w:val="left" w:pos="6804" w:leader="none"/>
          <w:tab w:val="left" w:pos="7938" w:leader="none"/>
          <w:tab w:val="left" w:pos="9072" w:leader="none"/>
          <w:tab w:val="left" w:pos="10206" w:leader="none"/>
          <w:tab w:val="left" w:pos="11340" w:leader="none"/>
        </w:tabs>
        <w:jc w:val="both"/>
        <w:rPr>
          <w:rFonts w:ascii="Verdana" w:hAnsi="Verdana" w:eastAsia="Verdana" w:cs="Verdana"/>
          <w:sz w:val="18"/>
          <w:szCs w:val="18"/>
        </w:rPr>
      </w:pPr>
      <w:r>
        <w:rPr>
          <w:rFonts w:eastAsia="Verdana" w:cs="Verdana" w:ascii="Verdana" w:hAnsi="Verdana"/>
          <w:sz w:val="18"/>
          <w:szCs w:val="18"/>
        </w:rPr>
      </w:r>
    </w:p>
    <w:p>
      <w:pPr>
        <w:pStyle w:val="Normal"/>
        <w:pBdr/>
        <w:tabs>
          <w:tab w:val="clear" w:pos="720"/>
          <w:tab w:val="left" w:pos="1134" w:leader="none"/>
          <w:tab w:val="left" w:pos="2268" w:leader="none"/>
          <w:tab w:val="left" w:pos="3402" w:leader="none"/>
          <w:tab w:val="left" w:pos="4536" w:leader="none"/>
          <w:tab w:val="left" w:pos="5670" w:leader="none"/>
          <w:tab w:val="left" w:pos="6804" w:leader="none"/>
          <w:tab w:val="left" w:pos="7938" w:leader="none"/>
          <w:tab w:val="left" w:pos="9072" w:leader="none"/>
          <w:tab w:val="left" w:pos="10206" w:leader="none"/>
          <w:tab w:val="left" w:pos="11340" w:leader="none"/>
        </w:tabs>
        <w:ind w:left="284" w:hanging="0"/>
        <w:jc w:val="both"/>
        <w:rPr>
          <w:rFonts w:ascii="Verdana" w:hAnsi="Verdana" w:eastAsia="Verdana" w:cs="Verdana"/>
          <w:sz w:val="18"/>
          <w:szCs w:val="18"/>
        </w:rPr>
      </w:pPr>
      <w:r>
        <w:rPr>
          <w:rFonts w:eastAsia="Verdana" w:cs="Verdana" w:ascii="Verdana" w:hAnsi="Verdana"/>
          <w:b/>
          <w:sz w:val="18"/>
          <w:szCs w:val="18"/>
        </w:rPr>
        <w:t>5.12.1 -</w:t>
      </w:r>
      <w:r>
        <w:rPr>
          <w:rFonts w:eastAsia="Verdana" w:cs="Verdana" w:ascii="Verdana" w:hAnsi="Verdana"/>
          <w:sz w:val="18"/>
          <w:szCs w:val="18"/>
        </w:rPr>
        <w:t xml:space="preserve"> A etapa de lances da sessão pública terá duração inicial de quinze minutos. Após esse prazo, o sistema encaminhará aviso de fechamento iminente dos lances, após o que transcorrerá o período de tempo de até dez minutos, aleatoriamente determinado, findo o qual será automaticamente encerrada a recepção de lances.</w:t>
      </w:r>
    </w:p>
    <w:p>
      <w:pPr>
        <w:pStyle w:val="Normal"/>
        <w:pBdr/>
        <w:tabs>
          <w:tab w:val="clear" w:pos="720"/>
          <w:tab w:val="left" w:pos="1134" w:leader="none"/>
          <w:tab w:val="left" w:pos="2268" w:leader="none"/>
          <w:tab w:val="left" w:pos="3402" w:leader="none"/>
          <w:tab w:val="left" w:pos="4536" w:leader="none"/>
          <w:tab w:val="left" w:pos="5670" w:leader="none"/>
          <w:tab w:val="left" w:pos="6804" w:leader="none"/>
          <w:tab w:val="left" w:pos="7938" w:leader="none"/>
          <w:tab w:val="left" w:pos="9072" w:leader="none"/>
          <w:tab w:val="left" w:pos="10206" w:leader="none"/>
          <w:tab w:val="left" w:pos="11340" w:leader="none"/>
        </w:tabs>
        <w:ind w:left="284" w:hanging="0"/>
        <w:jc w:val="both"/>
        <w:rPr>
          <w:rFonts w:ascii="Verdana" w:hAnsi="Verdana" w:eastAsia="Verdana" w:cs="Verdana"/>
          <w:sz w:val="18"/>
          <w:szCs w:val="18"/>
        </w:rPr>
      </w:pPr>
      <w:r>
        <w:rPr>
          <w:rFonts w:eastAsia="Verdana" w:cs="Verdana" w:ascii="Verdana" w:hAnsi="Verdana"/>
          <w:sz w:val="18"/>
          <w:szCs w:val="18"/>
        </w:rPr>
      </w:r>
    </w:p>
    <w:p>
      <w:pPr>
        <w:pStyle w:val="Normal"/>
        <w:pBdr/>
        <w:tabs>
          <w:tab w:val="clear" w:pos="720"/>
          <w:tab w:val="left" w:pos="1134" w:leader="none"/>
          <w:tab w:val="left" w:pos="2268" w:leader="none"/>
          <w:tab w:val="left" w:pos="3402" w:leader="none"/>
          <w:tab w:val="left" w:pos="4536" w:leader="none"/>
          <w:tab w:val="left" w:pos="5670" w:leader="none"/>
          <w:tab w:val="left" w:pos="6804" w:leader="none"/>
          <w:tab w:val="left" w:pos="7938" w:leader="none"/>
          <w:tab w:val="left" w:pos="9072" w:leader="none"/>
          <w:tab w:val="left" w:pos="10206" w:leader="none"/>
          <w:tab w:val="left" w:pos="11340" w:leader="none"/>
        </w:tabs>
        <w:ind w:left="284" w:hanging="0"/>
        <w:jc w:val="both"/>
        <w:rPr>
          <w:rFonts w:ascii="Verdana" w:hAnsi="Verdana" w:eastAsia="Verdana" w:cs="Verdana"/>
          <w:sz w:val="18"/>
          <w:szCs w:val="18"/>
        </w:rPr>
      </w:pPr>
      <w:r>
        <w:rPr>
          <w:rFonts w:eastAsia="Verdana" w:cs="Verdana" w:ascii="Verdana" w:hAnsi="Verdana"/>
          <w:b/>
          <w:sz w:val="18"/>
          <w:szCs w:val="18"/>
        </w:rPr>
        <w:t>5.12.2 -</w:t>
      </w:r>
      <w:r>
        <w:rPr>
          <w:rFonts w:eastAsia="Verdana" w:cs="Verdana" w:ascii="Verdana" w:hAnsi="Verdana"/>
          <w:sz w:val="18"/>
          <w:szCs w:val="18"/>
        </w:rPr>
        <w:t xml:space="preserve"> Encerrado o prazo previsto no subitem anterior, o sistema abrirá oportunidade para que o autor da oferta de valor mais baixo e os das ofertas com preços até 10% (dez por cento) superiores àquela possam ofertar um lance final e fechado em até cinco minutos, o qual será sigiloso até o encerramento deste prazo.</w:t>
      </w:r>
    </w:p>
    <w:p>
      <w:pPr>
        <w:pStyle w:val="Normal"/>
        <w:pBdr/>
        <w:tabs>
          <w:tab w:val="clear" w:pos="720"/>
          <w:tab w:val="left" w:pos="1134" w:leader="none"/>
          <w:tab w:val="left" w:pos="2268" w:leader="none"/>
          <w:tab w:val="left" w:pos="3402" w:leader="none"/>
          <w:tab w:val="left" w:pos="4536" w:leader="none"/>
          <w:tab w:val="left" w:pos="5670" w:leader="none"/>
          <w:tab w:val="left" w:pos="6804" w:leader="none"/>
          <w:tab w:val="left" w:pos="7938" w:leader="none"/>
          <w:tab w:val="left" w:pos="9072" w:leader="none"/>
          <w:tab w:val="left" w:pos="10206" w:leader="none"/>
          <w:tab w:val="left" w:pos="11340" w:leader="none"/>
        </w:tabs>
        <w:ind w:left="284" w:hanging="0"/>
        <w:jc w:val="both"/>
        <w:rPr>
          <w:rFonts w:ascii="Verdana" w:hAnsi="Verdana" w:eastAsia="Verdana" w:cs="Verdana"/>
          <w:b/>
          <w:b/>
          <w:sz w:val="18"/>
          <w:szCs w:val="18"/>
        </w:rPr>
      </w:pPr>
      <w:r>
        <w:rPr>
          <w:rFonts w:eastAsia="Verdana" w:cs="Verdana" w:ascii="Verdana" w:hAnsi="Verdana"/>
          <w:b/>
          <w:sz w:val="18"/>
          <w:szCs w:val="18"/>
        </w:rPr>
      </w:r>
    </w:p>
    <w:p>
      <w:pPr>
        <w:pStyle w:val="Normal"/>
        <w:pBdr/>
        <w:tabs>
          <w:tab w:val="clear" w:pos="720"/>
          <w:tab w:val="left" w:pos="1134" w:leader="none"/>
          <w:tab w:val="left" w:pos="2268" w:leader="none"/>
          <w:tab w:val="left" w:pos="3402" w:leader="none"/>
          <w:tab w:val="left" w:pos="4536" w:leader="none"/>
          <w:tab w:val="left" w:pos="5670" w:leader="none"/>
          <w:tab w:val="left" w:pos="6804" w:leader="none"/>
          <w:tab w:val="left" w:pos="7938" w:leader="none"/>
          <w:tab w:val="left" w:pos="9072" w:leader="none"/>
          <w:tab w:val="left" w:pos="10206" w:leader="none"/>
          <w:tab w:val="left" w:pos="11340" w:leader="none"/>
        </w:tabs>
        <w:ind w:left="284" w:hanging="0"/>
        <w:jc w:val="both"/>
        <w:rPr>
          <w:rFonts w:ascii="Verdana" w:hAnsi="Verdana" w:eastAsia="Verdana" w:cs="Verdana"/>
          <w:sz w:val="18"/>
          <w:szCs w:val="18"/>
        </w:rPr>
      </w:pPr>
      <w:r>
        <w:rPr>
          <w:rFonts w:eastAsia="Verdana" w:cs="Verdana" w:ascii="Verdana" w:hAnsi="Verdana"/>
          <w:b/>
          <w:sz w:val="18"/>
          <w:szCs w:val="18"/>
        </w:rPr>
        <w:t>5.12.3 -</w:t>
      </w:r>
      <w:r>
        <w:rPr>
          <w:rFonts w:eastAsia="Verdana" w:cs="Verdana" w:ascii="Verdana" w:hAnsi="Verdana"/>
          <w:sz w:val="18"/>
          <w:szCs w:val="18"/>
        </w:rPr>
        <w:t xml:space="preserve"> No procedimento de que trata o subitem supra, o licitante poderá optar por manter o seu último lance da etapa aberta, ou por ofertar melhor lance.</w:t>
      </w:r>
    </w:p>
    <w:p>
      <w:pPr>
        <w:pStyle w:val="Normal"/>
        <w:pBdr/>
        <w:tabs>
          <w:tab w:val="clear" w:pos="720"/>
          <w:tab w:val="left" w:pos="1134" w:leader="none"/>
          <w:tab w:val="left" w:pos="2268" w:leader="none"/>
          <w:tab w:val="left" w:pos="3402" w:leader="none"/>
          <w:tab w:val="left" w:pos="4536" w:leader="none"/>
          <w:tab w:val="left" w:pos="5670" w:leader="none"/>
          <w:tab w:val="left" w:pos="6804" w:leader="none"/>
          <w:tab w:val="left" w:pos="7938" w:leader="none"/>
          <w:tab w:val="left" w:pos="9072" w:leader="none"/>
          <w:tab w:val="left" w:pos="10206" w:leader="none"/>
          <w:tab w:val="left" w:pos="11340" w:leader="none"/>
        </w:tabs>
        <w:ind w:left="284" w:hanging="0"/>
        <w:jc w:val="both"/>
        <w:rPr>
          <w:rFonts w:ascii="Verdana" w:hAnsi="Verdana" w:eastAsia="Verdana" w:cs="Verdana"/>
          <w:b/>
          <w:b/>
          <w:sz w:val="18"/>
          <w:szCs w:val="18"/>
        </w:rPr>
      </w:pPr>
      <w:r>
        <w:rPr>
          <w:rFonts w:eastAsia="Verdana" w:cs="Verdana" w:ascii="Verdana" w:hAnsi="Verdana"/>
          <w:b/>
          <w:sz w:val="18"/>
          <w:szCs w:val="18"/>
        </w:rPr>
      </w:r>
    </w:p>
    <w:p>
      <w:pPr>
        <w:pStyle w:val="Normal"/>
        <w:pBdr/>
        <w:tabs>
          <w:tab w:val="clear" w:pos="720"/>
          <w:tab w:val="left" w:pos="1134" w:leader="none"/>
          <w:tab w:val="left" w:pos="2268" w:leader="none"/>
          <w:tab w:val="left" w:pos="3402" w:leader="none"/>
          <w:tab w:val="left" w:pos="4536" w:leader="none"/>
          <w:tab w:val="left" w:pos="5670" w:leader="none"/>
          <w:tab w:val="left" w:pos="6804" w:leader="none"/>
          <w:tab w:val="left" w:pos="7938" w:leader="none"/>
          <w:tab w:val="left" w:pos="9072" w:leader="none"/>
          <w:tab w:val="left" w:pos="10206" w:leader="none"/>
          <w:tab w:val="left" w:pos="11340" w:leader="none"/>
        </w:tabs>
        <w:ind w:left="284" w:hanging="0"/>
        <w:jc w:val="both"/>
        <w:rPr>
          <w:rFonts w:ascii="Verdana" w:hAnsi="Verdana" w:eastAsia="Verdana" w:cs="Verdana"/>
          <w:sz w:val="18"/>
          <w:szCs w:val="18"/>
        </w:rPr>
      </w:pPr>
      <w:r>
        <w:rPr>
          <w:rFonts w:eastAsia="Verdana" w:cs="Verdana" w:ascii="Verdana" w:hAnsi="Verdana"/>
          <w:b/>
          <w:sz w:val="18"/>
          <w:szCs w:val="18"/>
        </w:rPr>
        <w:t>5.12.4 -</w:t>
      </w:r>
      <w:r>
        <w:rPr>
          <w:rFonts w:eastAsia="Verdana" w:cs="Verdana" w:ascii="Verdana" w:hAnsi="Verdana"/>
          <w:sz w:val="18"/>
          <w:szCs w:val="18"/>
        </w:rPr>
        <w:t xml:space="preserve"> 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pPr>
        <w:pStyle w:val="Normal"/>
        <w:pBdr/>
        <w:tabs>
          <w:tab w:val="clear" w:pos="720"/>
          <w:tab w:val="left" w:pos="1134" w:leader="none"/>
          <w:tab w:val="left" w:pos="2268" w:leader="none"/>
          <w:tab w:val="left" w:pos="3402" w:leader="none"/>
          <w:tab w:val="left" w:pos="4536" w:leader="none"/>
          <w:tab w:val="left" w:pos="5670" w:leader="none"/>
          <w:tab w:val="left" w:pos="6804" w:leader="none"/>
          <w:tab w:val="left" w:pos="7938" w:leader="none"/>
          <w:tab w:val="left" w:pos="9072" w:leader="none"/>
          <w:tab w:val="left" w:pos="10206" w:leader="none"/>
          <w:tab w:val="left" w:pos="11340" w:leader="none"/>
        </w:tabs>
        <w:ind w:left="284" w:hanging="0"/>
        <w:jc w:val="both"/>
        <w:rPr>
          <w:rFonts w:ascii="Verdana" w:hAnsi="Verdana" w:eastAsia="Verdana" w:cs="Verdana"/>
          <w:b/>
          <w:b/>
          <w:sz w:val="18"/>
          <w:szCs w:val="18"/>
        </w:rPr>
      </w:pPr>
      <w:r>
        <w:rPr>
          <w:rFonts w:eastAsia="Verdana" w:cs="Verdana" w:ascii="Verdana" w:hAnsi="Verdana"/>
          <w:b/>
          <w:sz w:val="18"/>
          <w:szCs w:val="18"/>
        </w:rPr>
      </w:r>
    </w:p>
    <w:p>
      <w:pPr>
        <w:pStyle w:val="Normal"/>
        <w:pBdr/>
        <w:tabs>
          <w:tab w:val="clear" w:pos="720"/>
          <w:tab w:val="left" w:pos="1134" w:leader="none"/>
          <w:tab w:val="left" w:pos="2268" w:leader="none"/>
          <w:tab w:val="left" w:pos="3402" w:leader="none"/>
          <w:tab w:val="left" w:pos="4536" w:leader="none"/>
          <w:tab w:val="left" w:pos="5670" w:leader="none"/>
          <w:tab w:val="left" w:pos="6804" w:leader="none"/>
          <w:tab w:val="left" w:pos="7938" w:leader="none"/>
          <w:tab w:val="left" w:pos="9072" w:leader="none"/>
          <w:tab w:val="left" w:pos="10206" w:leader="none"/>
          <w:tab w:val="left" w:pos="11340" w:leader="none"/>
        </w:tabs>
        <w:ind w:left="284" w:hanging="0"/>
        <w:jc w:val="both"/>
        <w:rPr>
          <w:rFonts w:ascii="Verdana" w:hAnsi="Verdana" w:eastAsia="Verdana" w:cs="Verdana"/>
          <w:sz w:val="18"/>
          <w:szCs w:val="18"/>
        </w:rPr>
      </w:pPr>
      <w:r>
        <w:rPr>
          <w:rFonts w:eastAsia="Verdana" w:cs="Verdana" w:ascii="Verdana" w:hAnsi="Verdana"/>
          <w:b/>
          <w:sz w:val="18"/>
          <w:szCs w:val="18"/>
        </w:rPr>
        <w:t>5.12.5 -</w:t>
      </w:r>
      <w:r>
        <w:rPr>
          <w:rFonts w:eastAsia="Verdana" w:cs="Verdana" w:ascii="Verdana" w:hAnsi="Verdana"/>
          <w:sz w:val="18"/>
          <w:szCs w:val="18"/>
        </w:rPr>
        <w:t xml:space="preserve"> Após o término dos prazos estabelecidos nos itens anteriores, o sistema ordenará e divulgará os lances segundo a ordem crescente de valores.</w:t>
      </w:r>
    </w:p>
    <w:p>
      <w:pPr>
        <w:pStyle w:val="Normal"/>
        <w:pBdr/>
        <w:tabs>
          <w:tab w:val="clear" w:pos="720"/>
          <w:tab w:val="left" w:pos="1134" w:leader="none"/>
          <w:tab w:val="left" w:pos="2268" w:leader="none"/>
          <w:tab w:val="left" w:pos="3402" w:leader="none"/>
          <w:tab w:val="left" w:pos="4536" w:leader="none"/>
          <w:tab w:val="left" w:pos="5670" w:leader="none"/>
          <w:tab w:val="left" w:pos="6804" w:leader="none"/>
          <w:tab w:val="left" w:pos="7938" w:leader="none"/>
          <w:tab w:val="left" w:pos="9072" w:leader="none"/>
          <w:tab w:val="left" w:pos="10206" w:leader="none"/>
          <w:tab w:val="left" w:pos="11340" w:leader="none"/>
        </w:tabs>
        <w:jc w:val="both"/>
        <w:rPr>
          <w:rFonts w:ascii="Verdana" w:hAnsi="Verdana" w:eastAsia="Verdana" w:cs="Verdana"/>
          <w:sz w:val="18"/>
          <w:szCs w:val="18"/>
        </w:rPr>
      </w:pPr>
      <w:r>
        <w:rPr>
          <w:rFonts w:eastAsia="Verdana" w:cs="Verdana" w:ascii="Verdana" w:hAnsi="Verdana"/>
          <w:sz w:val="18"/>
          <w:szCs w:val="18"/>
        </w:rPr>
      </w:r>
    </w:p>
    <w:p>
      <w:pPr>
        <w:pStyle w:val="Normal"/>
        <w:pBdr/>
        <w:tabs>
          <w:tab w:val="clear" w:pos="720"/>
          <w:tab w:val="left" w:pos="1134" w:leader="none"/>
          <w:tab w:val="left" w:pos="2268" w:leader="none"/>
          <w:tab w:val="left" w:pos="3402" w:leader="none"/>
          <w:tab w:val="left" w:pos="4536" w:leader="none"/>
          <w:tab w:val="left" w:pos="5670" w:leader="none"/>
          <w:tab w:val="left" w:pos="6804" w:leader="none"/>
          <w:tab w:val="left" w:pos="7938" w:leader="none"/>
          <w:tab w:val="left" w:pos="9072" w:leader="none"/>
          <w:tab w:val="left" w:pos="10206" w:leader="none"/>
          <w:tab w:val="left" w:pos="11340" w:leader="none"/>
        </w:tabs>
        <w:jc w:val="both"/>
        <w:rPr>
          <w:rFonts w:ascii="Verdana" w:hAnsi="Verdana" w:eastAsia="Verdana" w:cs="Verdana"/>
          <w:sz w:val="18"/>
          <w:szCs w:val="18"/>
        </w:rPr>
      </w:pPr>
      <w:r>
        <w:rPr>
          <w:rFonts w:eastAsia="Verdana" w:cs="Verdana" w:ascii="Verdana" w:hAnsi="Verdana"/>
          <w:b/>
          <w:sz w:val="18"/>
          <w:szCs w:val="18"/>
        </w:rPr>
        <w:t>5.13 -</w:t>
      </w:r>
      <w:r>
        <w:rPr>
          <w:rFonts w:eastAsia="Verdana" w:cs="Verdana" w:ascii="Verdana" w:hAnsi="Verdana"/>
          <w:sz w:val="18"/>
          <w:szCs w:val="18"/>
        </w:rPr>
        <w:t xml:space="preserve"> Não serão aceitos dois ou mais lances de mesmo valor, prevalecendo aquele que for recebido e registrado em primeiro lugar.</w:t>
      </w:r>
    </w:p>
    <w:p>
      <w:pPr>
        <w:pStyle w:val="Normal"/>
        <w:pBdr/>
        <w:tabs>
          <w:tab w:val="clear" w:pos="720"/>
          <w:tab w:val="left" w:pos="1134" w:leader="none"/>
          <w:tab w:val="left" w:pos="2268" w:leader="none"/>
          <w:tab w:val="left" w:pos="3402" w:leader="none"/>
          <w:tab w:val="left" w:pos="4536" w:leader="none"/>
          <w:tab w:val="left" w:pos="5670" w:leader="none"/>
          <w:tab w:val="left" w:pos="6804" w:leader="none"/>
          <w:tab w:val="left" w:pos="7938" w:leader="none"/>
          <w:tab w:val="left" w:pos="9072" w:leader="none"/>
          <w:tab w:val="left" w:pos="10206" w:leader="none"/>
          <w:tab w:val="left" w:pos="11340" w:leader="none"/>
        </w:tabs>
        <w:jc w:val="both"/>
        <w:rPr>
          <w:rFonts w:ascii="Verdana" w:hAnsi="Verdana" w:eastAsia="Verdana" w:cs="Verdana"/>
          <w:sz w:val="18"/>
          <w:szCs w:val="18"/>
        </w:rPr>
      </w:pPr>
      <w:r>
        <w:rPr>
          <w:rFonts w:eastAsia="Verdana" w:cs="Verdana" w:ascii="Verdana" w:hAnsi="Verdana"/>
          <w:sz w:val="18"/>
          <w:szCs w:val="18"/>
        </w:rPr>
      </w:r>
    </w:p>
    <w:p>
      <w:pPr>
        <w:pStyle w:val="Normal"/>
        <w:pBdr/>
        <w:tabs>
          <w:tab w:val="clear" w:pos="720"/>
          <w:tab w:val="left" w:pos="1134" w:leader="none"/>
          <w:tab w:val="left" w:pos="2268" w:leader="none"/>
          <w:tab w:val="left" w:pos="3402" w:leader="none"/>
          <w:tab w:val="left" w:pos="4536" w:leader="none"/>
          <w:tab w:val="left" w:pos="5670" w:leader="none"/>
          <w:tab w:val="left" w:pos="6804" w:leader="none"/>
          <w:tab w:val="left" w:pos="7938" w:leader="none"/>
          <w:tab w:val="left" w:pos="9072" w:leader="none"/>
          <w:tab w:val="left" w:pos="10206" w:leader="none"/>
          <w:tab w:val="left" w:pos="11340" w:leader="none"/>
        </w:tabs>
        <w:jc w:val="both"/>
        <w:rPr>
          <w:rFonts w:ascii="Verdana" w:hAnsi="Verdana" w:eastAsia="Verdana" w:cs="Verdana"/>
          <w:sz w:val="18"/>
          <w:szCs w:val="18"/>
        </w:rPr>
      </w:pPr>
      <w:r>
        <w:rPr>
          <w:rFonts w:eastAsia="Verdana" w:cs="Verdana" w:ascii="Verdana" w:hAnsi="Verdana"/>
          <w:b/>
          <w:sz w:val="18"/>
          <w:szCs w:val="18"/>
        </w:rPr>
        <w:t xml:space="preserve">5.14 - </w:t>
      </w:r>
      <w:r>
        <w:rPr>
          <w:rFonts w:eastAsia="Verdana" w:cs="Verdana" w:ascii="Verdana" w:hAnsi="Verdana"/>
          <w:sz w:val="18"/>
          <w:szCs w:val="18"/>
        </w:rPr>
        <w:t>Durante o transcurso da sessão pública, os licitantes serão informados, em tempo real, do valor do menor lance registrado, vedada a identificação do licitante.</w:t>
      </w:r>
    </w:p>
    <w:p>
      <w:pPr>
        <w:pStyle w:val="Normal"/>
        <w:pBdr/>
        <w:tabs>
          <w:tab w:val="clear" w:pos="720"/>
          <w:tab w:val="left" w:pos="1134" w:leader="none"/>
          <w:tab w:val="left" w:pos="2268" w:leader="none"/>
          <w:tab w:val="left" w:pos="3402" w:leader="none"/>
          <w:tab w:val="left" w:pos="4536" w:leader="none"/>
          <w:tab w:val="left" w:pos="5670" w:leader="none"/>
          <w:tab w:val="left" w:pos="6804" w:leader="none"/>
          <w:tab w:val="left" w:pos="7938" w:leader="none"/>
          <w:tab w:val="left" w:pos="9072" w:leader="none"/>
          <w:tab w:val="left" w:pos="10206" w:leader="none"/>
          <w:tab w:val="left" w:pos="11340" w:leader="none"/>
        </w:tabs>
        <w:jc w:val="both"/>
        <w:rPr>
          <w:rFonts w:ascii="Verdana" w:hAnsi="Verdana" w:eastAsia="Verdana" w:cs="Verdana"/>
          <w:sz w:val="18"/>
          <w:szCs w:val="18"/>
        </w:rPr>
      </w:pPr>
      <w:r>
        <w:rPr>
          <w:rFonts w:eastAsia="Verdana" w:cs="Verdana" w:ascii="Verdana" w:hAnsi="Verdana"/>
          <w:b/>
          <w:sz w:val="18"/>
          <w:szCs w:val="18"/>
        </w:rPr>
        <w:t xml:space="preserve">5.15 - </w:t>
      </w:r>
      <w:r>
        <w:rPr>
          <w:rFonts w:eastAsia="Verdana" w:cs="Verdana" w:ascii="Verdana" w:hAnsi="Verdana"/>
          <w:sz w:val="18"/>
          <w:szCs w:val="18"/>
        </w:rPr>
        <w:t xml:space="preserve">No caso de desconexão com o Pregoeiro, no decorrer da etapa competitiva do Pregão, o sistema eletrônico poderá permanecer acessível aos licitantes para a recepção dos lances. </w:t>
      </w:r>
    </w:p>
    <w:p>
      <w:pPr>
        <w:pStyle w:val="Normal"/>
        <w:pBdr/>
        <w:tabs>
          <w:tab w:val="clear" w:pos="720"/>
          <w:tab w:val="left" w:pos="1134" w:leader="none"/>
          <w:tab w:val="left" w:pos="2268" w:leader="none"/>
          <w:tab w:val="left" w:pos="3402" w:leader="none"/>
          <w:tab w:val="left" w:pos="4536" w:leader="none"/>
          <w:tab w:val="left" w:pos="5670" w:leader="none"/>
          <w:tab w:val="left" w:pos="6804" w:leader="none"/>
          <w:tab w:val="left" w:pos="7938" w:leader="none"/>
          <w:tab w:val="left" w:pos="9072" w:leader="none"/>
          <w:tab w:val="left" w:pos="10206" w:leader="none"/>
          <w:tab w:val="left" w:pos="11340" w:leader="none"/>
        </w:tabs>
        <w:jc w:val="both"/>
        <w:rPr>
          <w:rFonts w:ascii="Verdana" w:hAnsi="Verdana" w:eastAsia="Verdana" w:cs="Verdana"/>
          <w:sz w:val="18"/>
          <w:szCs w:val="18"/>
        </w:rPr>
      </w:pPr>
      <w:r>
        <w:rPr>
          <w:rFonts w:eastAsia="Verdana" w:cs="Verdana" w:ascii="Verdana" w:hAnsi="Verdana"/>
          <w:sz w:val="18"/>
          <w:szCs w:val="18"/>
        </w:rPr>
      </w:r>
    </w:p>
    <w:p>
      <w:pPr>
        <w:pStyle w:val="Normal"/>
        <w:pBdr/>
        <w:tabs>
          <w:tab w:val="clear" w:pos="720"/>
          <w:tab w:val="left" w:pos="1134" w:leader="none"/>
          <w:tab w:val="left" w:pos="2268" w:leader="none"/>
          <w:tab w:val="left" w:pos="3402" w:leader="none"/>
          <w:tab w:val="left" w:pos="4536" w:leader="none"/>
          <w:tab w:val="left" w:pos="5670" w:leader="none"/>
          <w:tab w:val="left" w:pos="6804" w:leader="none"/>
          <w:tab w:val="left" w:pos="7938" w:leader="none"/>
          <w:tab w:val="left" w:pos="9072" w:leader="none"/>
          <w:tab w:val="left" w:pos="10206" w:leader="none"/>
          <w:tab w:val="left" w:pos="11340" w:leader="none"/>
        </w:tabs>
        <w:jc w:val="both"/>
        <w:rPr>
          <w:rFonts w:ascii="Verdana" w:hAnsi="Verdana" w:eastAsia="Verdana" w:cs="Verdana"/>
          <w:sz w:val="18"/>
          <w:szCs w:val="18"/>
        </w:rPr>
      </w:pPr>
      <w:r>
        <w:rPr>
          <w:rFonts w:eastAsia="Verdana" w:cs="Verdana" w:ascii="Verdana" w:hAnsi="Verdana"/>
          <w:b/>
          <w:sz w:val="18"/>
          <w:szCs w:val="18"/>
        </w:rPr>
        <w:t>5.16 -</w:t>
      </w:r>
      <w:r>
        <w:rPr>
          <w:rFonts w:eastAsia="Verdana" w:cs="Verdana" w:ascii="Verdana" w:hAnsi="Verdana"/>
          <w:sz w:val="18"/>
          <w:szCs w:val="18"/>
        </w:rPr>
        <w:t xml:space="preserve"> 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pPr>
        <w:pStyle w:val="Normal"/>
        <w:pBdr/>
        <w:tabs>
          <w:tab w:val="clear" w:pos="720"/>
          <w:tab w:val="left" w:pos="1134" w:leader="none"/>
          <w:tab w:val="left" w:pos="2268" w:leader="none"/>
          <w:tab w:val="left" w:pos="3402" w:leader="none"/>
          <w:tab w:val="left" w:pos="4536" w:leader="none"/>
          <w:tab w:val="left" w:pos="5670" w:leader="none"/>
          <w:tab w:val="left" w:pos="6804" w:leader="none"/>
          <w:tab w:val="left" w:pos="7938" w:leader="none"/>
          <w:tab w:val="left" w:pos="9072" w:leader="none"/>
          <w:tab w:val="left" w:pos="10206" w:leader="none"/>
          <w:tab w:val="left" w:pos="11340" w:leader="none"/>
        </w:tabs>
        <w:jc w:val="both"/>
        <w:rPr>
          <w:rFonts w:ascii="Verdana" w:hAnsi="Verdana" w:eastAsia="Verdana" w:cs="Verdana"/>
          <w:sz w:val="18"/>
          <w:szCs w:val="18"/>
        </w:rPr>
      </w:pPr>
      <w:r>
        <w:rPr>
          <w:rFonts w:eastAsia="Verdana" w:cs="Verdana" w:ascii="Verdana" w:hAnsi="Verdana"/>
          <w:sz w:val="18"/>
          <w:szCs w:val="18"/>
        </w:rPr>
      </w:r>
    </w:p>
    <w:p>
      <w:pPr>
        <w:pStyle w:val="Normal"/>
        <w:pBdr/>
        <w:tabs>
          <w:tab w:val="clear" w:pos="720"/>
          <w:tab w:val="left" w:pos="1134" w:leader="none"/>
          <w:tab w:val="left" w:pos="2268" w:leader="none"/>
          <w:tab w:val="left" w:pos="3402" w:leader="none"/>
          <w:tab w:val="left" w:pos="4536" w:leader="none"/>
          <w:tab w:val="left" w:pos="5670" w:leader="none"/>
          <w:tab w:val="left" w:pos="6804" w:leader="none"/>
          <w:tab w:val="left" w:pos="7938" w:leader="none"/>
          <w:tab w:val="left" w:pos="9072" w:leader="none"/>
          <w:tab w:val="left" w:pos="10206" w:leader="none"/>
          <w:tab w:val="left" w:pos="11340" w:leader="none"/>
        </w:tabs>
        <w:jc w:val="both"/>
        <w:rPr>
          <w:rFonts w:ascii="Verdana" w:hAnsi="Verdana" w:eastAsia="Verdana" w:cs="Verdana"/>
          <w:sz w:val="18"/>
          <w:szCs w:val="18"/>
        </w:rPr>
      </w:pPr>
      <w:r>
        <w:rPr>
          <w:rFonts w:eastAsia="Verdana" w:cs="Verdana" w:ascii="Verdana" w:hAnsi="Verdana"/>
          <w:b/>
          <w:sz w:val="18"/>
          <w:szCs w:val="18"/>
        </w:rPr>
        <w:t>5.17 -</w:t>
      </w:r>
      <w:r>
        <w:rPr>
          <w:rFonts w:eastAsia="Verdana" w:cs="Verdana" w:ascii="Verdana" w:hAnsi="Verdana"/>
          <w:sz w:val="18"/>
          <w:szCs w:val="18"/>
        </w:rPr>
        <w:t xml:space="preserve"> Caso o licitante não apresente lances, concorrerá com o valor de sua proposta.</w:t>
      </w:r>
    </w:p>
    <w:p>
      <w:pPr>
        <w:pStyle w:val="Normal"/>
        <w:pBdr/>
        <w:tabs>
          <w:tab w:val="clear" w:pos="720"/>
          <w:tab w:val="left" w:pos="1134" w:leader="none"/>
          <w:tab w:val="left" w:pos="2268" w:leader="none"/>
          <w:tab w:val="left" w:pos="3402" w:leader="none"/>
          <w:tab w:val="left" w:pos="4536" w:leader="none"/>
          <w:tab w:val="left" w:pos="5670" w:leader="none"/>
          <w:tab w:val="left" w:pos="6804" w:leader="none"/>
          <w:tab w:val="left" w:pos="7938" w:leader="none"/>
          <w:tab w:val="left" w:pos="9072" w:leader="none"/>
          <w:tab w:val="left" w:pos="10206" w:leader="none"/>
          <w:tab w:val="left" w:pos="11340" w:leader="none"/>
        </w:tabs>
        <w:jc w:val="both"/>
        <w:rPr>
          <w:rFonts w:ascii="Verdana" w:hAnsi="Verdana" w:eastAsia="Verdana" w:cs="Verdana"/>
          <w:sz w:val="18"/>
          <w:szCs w:val="18"/>
        </w:rPr>
      </w:pPr>
      <w:r>
        <w:rPr>
          <w:rFonts w:eastAsia="Verdana" w:cs="Verdana" w:ascii="Verdana" w:hAnsi="Verdana"/>
          <w:sz w:val="18"/>
          <w:szCs w:val="18"/>
        </w:rPr>
      </w:r>
    </w:p>
    <w:p>
      <w:pPr>
        <w:pStyle w:val="Normal"/>
        <w:tabs>
          <w:tab w:val="clear" w:pos="720"/>
          <w:tab w:val="left" w:pos="1134" w:leader="none"/>
          <w:tab w:val="left" w:pos="2268" w:leader="none"/>
          <w:tab w:val="left" w:pos="3402" w:leader="none"/>
          <w:tab w:val="left" w:pos="4536" w:leader="none"/>
          <w:tab w:val="left" w:pos="5670" w:leader="none"/>
          <w:tab w:val="left" w:pos="6804" w:leader="none"/>
          <w:tab w:val="left" w:pos="7938" w:leader="none"/>
          <w:tab w:val="left" w:pos="9072" w:leader="none"/>
          <w:tab w:val="left" w:pos="10206" w:leader="none"/>
          <w:tab w:val="left" w:pos="11340" w:leader="none"/>
        </w:tabs>
        <w:jc w:val="both"/>
        <w:rPr>
          <w:rFonts w:ascii="Verdana" w:hAnsi="Verdana" w:eastAsia="Verdana" w:cs="Verdana"/>
          <w:sz w:val="18"/>
          <w:szCs w:val="18"/>
        </w:rPr>
      </w:pPr>
      <w:r>
        <w:rPr>
          <w:rFonts w:eastAsia="Verdana" w:cs="Verdana" w:ascii="Verdana" w:hAnsi="Verdana"/>
          <w:b/>
          <w:sz w:val="18"/>
          <w:szCs w:val="18"/>
        </w:rPr>
        <w:t>5.18 -</w:t>
      </w:r>
      <w:r>
        <w:rPr>
          <w:rFonts w:eastAsia="Verdana" w:cs="Verdana" w:ascii="Verdana" w:hAnsi="Verdana"/>
          <w:sz w:val="18"/>
          <w:szCs w:val="18"/>
        </w:rPr>
        <w:t xml:space="preserve"> Em relação a itens não exclusivos para participação de microempresas e empresas de pequeno porte, uma vez encerrada a etapa de lances,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arts. 44 e 45 da Lei Complementar nº 123, de 2006, regulamentada pelo Decreto nº 8.538, de 2015.</w:t>
      </w:r>
    </w:p>
    <w:p>
      <w:pPr>
        <w:pStyle w:val="Normal"/>
        <w:tabs>
          <w:tab w:val="clear" w:pos="720"/>
          <w:tab w:val="left" w:pos="1134" w:leader="none"/>
          <w:tab w:val="left" w:pos="2268" w:leader="none"/>
          <w:tab w:val="left" w:pos="3402" w:leader="none"/>
          <w:tab w:val="left" w:pos="4536" w:leader="none"/>
          <w:tab w:val="left" w:pos="5670" w:leader="none"/>
          <w:tab w:val="left" w:pos="6804" w:leader="none"/>
          <w:tab w:val="left" w:pos="7938" w:leader="none"/>
          <w:tab w:val="left" w:pos="9072" w:leader="none"/>
          <w:tab w:val="left" w:pos="10206" w:leader="none"/>
          <w:tab w:val="left" w:pos="11340" w:leader="none"/>
        </w:tabs>
        <w:jc w:val="both"/>
        <w:rPr>
          <w:rFonts w:ascii="Verdana" w:hAnsi="Verdana" w:eastAsia="Verdana" w:cs="Verdana"/>
          <w:sz w:val="18"/>
          <w:szCs w:val="18"/>
        </w:rPr>
      </w:pPr>
      <w:r>
        <w:rPr>
          <w:rFonts w:eastAsia="Verdana" w:cs="Verdana" w:ascii="Verdana" w:hAnsi="Verdana"/>
          <w:sz w:val="18"/>
          <w:szCs w:val="18"/>
        </w:rPr>
      </w:r>
    </w:p>
    <w:p>
      <w:pPr>
        <w:pStyle w:val="Normal"/>
        <w:tabs>
          <w:tab w:val="clear" w:pos="720"/>
          <w:tab w:val="left" w:pos="1134" w:leader="none"/>
          <w:tab w:val="left" w:pos="2268" w:leader="none"/>
          <w:tab w:val="left" w:pos="3402" w:leader="none"/>
          <w:tab w:val="left" w:pos="4536" w:leader="none"/>
          <w:tab w:val="left" w:pos="5670" w:leader="none"/>
          <w:tab w:val="left" w:pos="6804" w:leader="none"/>
          <w:tab w:val="left" w:pos="7938" w:leader="none"/>
          <w:tab w:val="left" w:pos="9072" w:leader="none"/>
          <w:tab w:val="left" w:pos="10206" w:leader="none"/>
          <w:tab w:val="left" w:pos="11340" w:leader="none"/>
        </w:tabs>
        <w:ind w:left="284" w:hanging="0"/>
        <w:jc w:val="both"/>
        <w:rPr>
          <w:rFonts w:ascii="Verdana" w:hAnsi="Verdana" w:eastAsia="Verdana" w:cs="Verdana"/>
          <w:sz w:val="18"/>
          <w:szCs w:val="18"/>
        </w:rPr>
      </w:pPr>
      <w:r>
        <w:rPr>
          <w:rFonts w:eastAsia="Verdana" w:cs="Verdana" w:ascii="Verdana" w:hAnsi="Verdana"/>
          <w:b/>
          <w:sz w:val="18"/>
          <w:szCs w:val="18"/>
        </w:rPr>
        <w:t>5.18.1 -</w:t>
      </w:r>
      <w:r>
        <w:rPr>
          <w:rFonts w:eastAsia="Verdana" w:cs="Verdana" w:ascii="Verdana" w:hAnsi="Verdana"/>
          <w:sz w:val="18"/>
          <w:szCs w:val="18"/>
        </w:rPr>
        <w:t xml:space="preserve"> Nessas condições, as propostas de microempresas e empresas de pequeno porte que se encontrarem na faixa de até 5% (cinco por cento) acima da melhor proposta ou melhor lance serão consideradas empatadas com a primeira colocada.</w:t>
      </w:r>
    </w:p>
    <w:p>
      <w:pPr>
        <w:pStyle w:val="Normal"/>
        <w:tabs>
          <w:tab w:val="clear" w:pos="720"/>
          <w:tab w:val="left" w:pos="1134" w:leader="none"/>
          <w:tab w:val="left" w:pos="2268" w:leader="none"/>
          <w:tab w:val="left" w:pos="3402" w:leader="none"/>
          <w:tab w:val="left" w:pos="4536" w:leader="none"/>
          <w:tab w:val="left" w:pos="5670" w:leader="none"/>
          <w:tab w:val="left" w:pos="6804" w:leader="none"/>
          <w:tab w:val="left" w:pos="7938" w:leader="none"/>
          <w:tab w:val="left" w:pos="9072" w:leader="none"/>
          <w:tab w:val="left" w:pos="10206" w:leader="none"/>
          <w:tab w:val="left" w:pos="11340" w:leader="none"/>
        </w:tabs>
        <w:ind w:left="284" w:hanging="0"/>
        <w:jc w:val="both"/>
        <w:rPr>
          <w:rFonts w:ascii="Verdana" w:hAnsi="Verdana" w:eastAsia="Verdana" w:cs="Verdana"/>
          <w:sz w:val="18"/>
          <w:szCs w:val="18"/>
        </w:rPr>
      </w:pPr>
      <w:r>
        <w:rPr>
          <w:rFonts w:eastAsia="Verdana" w:cs="Verdana" w:ascii="Verdana" w:hAnsi="Verdana"/>
          <w:sz w:val="18"/>
          <w:szCs w:val="18"/>
        </w:rPr>
      </w:r>
    </w:p>
    <w:p>
      <w:pPr>
        <w:pStyle w:val="Normal"/>
        <w:tabs>
          <w:tab w:val="clear" w:pos="720"/>
          <w:tab w:val="left" w:pos="1134" w:leader="none"/>
          <w:tab w:val="left" w:pos="2268" w:leader="none"/>
          <w:tab w:val="left" w:pos="3402" w:leader="none"/>
          <w:tab w:val="left" w:pos="4536" w:leader="none"/>
          <w:tab w:val="left" w:pos="5670" w:leader="none"/>
          <w:tab w:val="left" w:pos="6804" w:leader="none"/>
          <w:tab w:val="left" w:pos="7938" w:leader="none"/>
          <w:tab w:val="left" w:pos="9072" w:leader="none"/>
          <w:tab w:val="left" w:pos="10206" w:leader="none"/>
          <w:tab w:val="left" w:pos="11340" w:leader="none"/>
        </w:tabs>
        <w:ind w:left="284" w:hanging="0"/>
        <w:jc w:val="both"/>
        <w:rPr>
          <w:rFonts w:ascii="Verdana" w:hAnsi="Verdana" w:eastAsia="Verdana" w:cs="Verdana"/>
          <w:sz w:val="18"/>
          <w:szCs w:val="18"/>
        </w:rPr>
      </w:pPr>
      <w:r>
        <w:rPr>
          <w:rFonts w:eastAsia="Verdana" w:cs="Verdana" w:ascii="Verdana" w:hAnsi="Verdana"/>
          <w:b/>
          <w:sz w:val="18"/>
          <w:szCs w:val="18"/>
        </w:rPr>
        <w:t>5.18.2 -</w:t>
      </w:r>
      <w:r>
        <w:rPr>
          <w:rFonts w:eastAsia="Verdana" w:cs="Verdana" w:ascii="Verdana" w:hAnsi="Verdana"/>
          <w:sz w:val="18"/>
          <w:szCs w:val="18"/>
        </w:rPr>
        <w:t xml:space="preserve"> 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pPr>
        <w:pStyle w:val="Normal"/>
        <w:tabs>
          <w:tab w:val="clear" w:pos="720"/>
          <w:tab w:val="left" w:pos="1134" w:leader="none"/>
          <w:tab w:val="left" w:pos="2268" w:leader="none"/>
          <w:tab w:val="left" w:pos="3402" w:leader="none"/>
          <w:tab w:val="left" w:pos="4536" w:leader="none"/>
          <w:tab w:val="left" w:pos="5670" w:leader="none"/>
          <w:tab w:val="left" w:pos="6804" w:leader="none"/>
          <w:tab w:val="left" w:pos="7938" w:leader="none"/>
          <w:tab w:val="left" w:pos="9072" w:leader="none"/>
          <w:tab w:val="left" w:pos="10206" w:leader="none"/>
          <w:tab w:val="left" w:pos="11340" w:leader="none"/>
        </w:tabs>
        <w:ind w:left="284" w:hanging="0"/>
        <w:jc w:val="both"/>
        <w:rPr>
          <w:rFonts w:ascii="Verdana" w:hAnsi="Verdana" w:eastAsia="Verdana" w:cs="Verdana"/>
          <w:sz w:val="18"/>
          <w:szCs w:val="18"/>
        </w:rPr>
      </w:pPr>
      <w:r>
        <w:rPr>
          <w:rFonts w:eastAsia="Verdana" w:cs="Verdana" w:ascii="Verdana" w:hAnsi="Verdana"/>
          <w:sz w:val="18"/>
          <w:szCs w:val="18"/>
        </w:rPr>
      </w:r>
    </w:p>
    <w:p>
      <w:pPr>
        <w:pStyle w:val="Normal"/>
        <w:tabs>
          <w:tab w:val="clear" w:pos="720"/>
          <w:tab w:val="left" w:pos="1134" w:leader="none"/>
          <w:tab w:val="left" w:pos="2268" w:leader="none"/>
          <w:tab w:val="left" w:pos="3402" w:leader="none"/>
          <w:tab w:val="left" w:pos="4536" w:leader="none"/>
          <w:tab w:val="left" w:pos="5670" w:leader="none"/>
          <w:tab w:val="left" w:pos="6804" w:leader="none"/>
          <w:tab w:val="left" w:pos="7938" w:leader="none"/>
          <w:tab w:val="left" w:pos="9072" w:leader="none"/>
          <w:tab w:val="left" w:pos="10206" w:leader="none"/>
          <w:tab w:val="left" w:pos="11340" w:leader="none"/>
        </w:tabs>
        <w:ind w:left="284" w:hanging="0"/>
        <w:jc w:val="both"/>
        <w:rPr>
          <w:rFonts w:ascii="Verdana" w:hAnsi="Verdana" w:eastAsia="Verdana" w:cs="Verdana"/>
          <w:sz w:val="18"/>
          <w:szCs w:val="18"/>
        </w:rPr>
      </w:pPr>
      <w:r>
        <w:rPr>
          <w:rFonts w:eastAsia="Verdana" w:cs="Verdana" w:ascii="Verdana" w:hAnsi="Verdana"/>
          <w:b/>
          <w:sz w:val="18"/>
          <w:szCs w:val="18"/>
        </w:rPr>
        <w:t>5.18.3 -</w:t>
      </w:r>
      <w:r>
        <w:rPr>
          <w:rFonts w:eastAsia="Verdana" w:cs="Verdana" w:ascii="Verdana" w:hAnsi="Verdana"/>
          <w:sz w:val="18"/>
          <w:szCs w:val="18"/>
        </w:rPr>
        <w:t xml:space="preserve"> 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pPr>
        <w:pStyle w:val="Normal"/>
        <w:tabs>
          <w:tab w:val="clear" w:pos="720"/>
          <w:tab w:val="left" w:pos="1134" w:leader="none"/>
          <w:tab w:val="left" w:pos="2268" w:leader="none"/>
          <w:tab w:val="left" w:pos="3402" w:leader="none"/>
          <w:tab w:val="left" w:pos="4536" w:leader="none"/>
          <w:tab w:val="left" w:pos="5670" w:leader="none"/>
          <w:tab w:val="left" w:pos="6804" w:leader="none"/>
          <w:tab w:val="left" w:pos="7938" w:leader="none"/>
          <w:tab w:val="left" w:pos="9072" w:leader="none"/>
          <w:tab w:val="left" w:pos="10206" w:leader="none"/>
          <w:tab w:val="left" w:pos="11340" w:leader="none"/>
        </w:tabs>
        <w:ind w:left="284" w:hanging="0"/>
        <w:jc w:val="both"/>
        <w:rPr>
          <w:rFonts w:ascii="Verdana" w:hAnsi="Verdana" w:eastAsia="Verdana" w:cs="Verdana"/>
          <w:sz w:val="18"/>
          <w:szCs w:val="18"/>
        </w:rPr>
      </w:pPr>
      <w:r>
        <w:rPr>
          <w:rFonts w:eastAsia="Verdana" w:cs="Verdana" w:ascii="Verdana" w:hAnsi="Verdana"/>
          <w:sz w:val="18"/>
          <w:szCs w:val="18"/>
        </w:rPr>
      </w:r>
    </w:p>
    <w:p>
      <w:pPr>
        <w:pStyle w:val="Normal"/>
        <w:tabs>
          <w:tab w:val="clear" w:pos="720"/>
          <w:tab w:val="left" w:pos="1134" w:leader="none"/>
          <w:tab w:val="left" w:pos="2268" w:leader="none"/>
          <w:tab w:val="left" w:pos="3402" w:leader="none"/>
          <w:tab w:val="left" w:pos="4536" w:leader="none"/>
          <w:tab w:val="left" w:pos="5670" w:leader="none"/>
          <w:tab w:val="left" w:pos="6804" w:leader="none"/>
          <w:tab w:val="left" w:pos="7938" w:leader="none"/>
          <w:tab w:val="left" w:pos="9072" w:leader="none"/>
          <w:tab w:val="left" w:pos="10206" w:leader="none"/>
          <w:tab w:val="left" w:pos="11340" w:leader="none"/>
        </w:tabs>
        <w:ind w:left="284" w:hanging="0"/>
        <w:jc w:val="both"/>
        <w:rPr>
          <w:rFonts w:ascii="Verdana" w:hAnsi="Verdana" w:eastAsia="Verdana" w:cs="Verdana"/>
          <w:sz w:val="18"/>
          <w:szCs w:val="18"/>
        </w:rPr>
      </w:pPr>
      <w:r>
        <w:rPr>
          <w:rFonts w:eastAsia="Verdana" w:cs="Verdana" w:ascii="Verdana" w:hAnsi="Verdana"/>
          <w:b/>
          <w:sz w:val="18"/>
          <w:szCs w:val="18"/>
        </w:rPr>
        <w:t>5.18.4 -</w:t>
      </w:r>
      <w:r>
        <w:rPr>
          <w:rFonts w:eastAsia="Verdana" w:cs="Verdana" w:ascii="Verdana" w:hAnsi="Verdana"/>
          <w:sz w:val="18"/>
          <w:szCs w:val="18"/>
        </w:rPr>
        <w:t xml:space="preserve"> 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pPr>
        <w:pStyle w:val="Normal"/>
        <w:pBdr/>
        <w:tabs>
          <w:tab w:val="clear" w:pos="720"/>
          <w:tab w:val="left" w:pos="1134" w:leader="none"/>
          <w:tab w:val="left" w:pos="2268" w:leader="none"/>
          <w:tab w:val="left" w:pos="3402" w:leader="none"/>
          <w:tab w:val="left" w:pos="4536" w:leader="none"/>
          <w:tab w:val="left" w:pos="5670" w:leader="none"/>
          <w:tab w:val="left" w:pos="6804" w:leader="none"/>
          <w:tab w:val="left" w:pos="7938" w:leader="none"/>
          <w:tab w:val="left" w:pos="9072" w:leader="none"/>
          <w:tab w:val="left" w:pos="10206" w:leader="none"/>
          <w:tab w:val="left" w:pos="11340" w:leader="none"/>
        </w:tabs>
        <w:jc w:val="both"/>
        <w:rPr>
          <w:rFonts w:ascii="Verdana" w:hAnsi="Verdana" w:eastAsia="Verdana" w:cs="Verdana"/>
          <w:sz w:val="18"/>
          <w:szCs w:val="18"/>
        </w:rPr>
      </w:pPr>
      <w:r>
        <w:rPr>
          <w:rFonts w:eastAsia="Verdana" w:cs="Verdana" w:ascii="Verdana" w:hAnsi="Verdana"/>
          <w:sz w:val="18"/>
          <w:szCs w:val="18"/>
        </w:rPr>
      </w:r>
    </w:p>
    <w:p>
      <w:pPr>
        <w:pStyle w:val="Normal"/>
        <w:pBdr/>
        <w:tabs>
          <w:tab w:val="clear" w:pos="720"/>
          <w:tab w:val="left" w:pos="1134" w:leader="none"/>
          <w:tab w:val="left" w:pos="2268" w:leader="none"/>
          <w:tab w:val="left" w:pos="3402" w:leader="none"/>
          <w:tab w:val="left" w:pos="4536" w:leader="none"/>
          <w:tab w:val="left" w:pos="5670" w:leader="none"/>
          <w:tab w:val="left" w:pos="6804" w:leader="none"/>
          <w:tab w:val="left" w:pos="7938" w:leader="none"/>
          <w:tab w:val="left" w:pos="9072" w:leader="none"/>
          <w:tab w:val="left" w:pos="10206" w:leader="none"/>
          <w:tab w:val="left" w:pos="11340" w:leader="none"/>
        </w:tabs>
        <w:jc w:val="both"/>
        <w:rPr>
          <w:rFonts w:ascii="Verdana" w:hAnsi="Verdana" w:eastAsia="Verdana" w:cs="Verdana"/>
          <w:sz w:val="18"/>
          <w:szCs w:val="18"/>
        </w:rPr>
      </w:pPr>
      <w:r>
        <w:rPr>
          <w:rFonts w:eastAsia="Verdana" w:cs="Verdana" w:ascii="Verdana" w:hAnsi="Verdana"/>
          <w:b/>
          <w:sz w:val="18"/>
          <w:szCs w:val="18"/>
        </w:rPr>
        <w:t>5.19 -</w:t>
      </w:r>
      <w:r>
        <w:rPr>
          <w:rFonts w:eastAsia="Verdana" w:cs="Verdana" w:ascii="Verdana" w:hAnsi="Verdana"/>
          <w:sz w:val="18"/>
          <w:szCs w:val="18"/>
        </w:rPr>
        <w:t xml:space="preserve"> Só poderá haver empate entre propostas iguais (não seguidas de lances), ou entre lances finais da fase fechada do modo de disputa aberto e fechado. </w:t>
      </w:r>
    </w:p>
    <w:p>
      <w:pPr>
        <w:pStyle w:val="Normal"/>
        <w:pBdr/>
        <w:tabs>
          <w:tab w:val="clear" w:pos="720"/>
          <w:tab w:val="left" w:pos="1134" w:leader="none"/>
          <w:tab w:val="left" w:pos="2268" w:leader="none"/>
          <w:tab w:val="left" w:pos="3402" w:leader="none"/>
          <w:tab w:val="left" w:pos="4536" w:leader="none"/>
          <w:tab w:val="left" w:pos="5670" w:leader="none"/>
          <w:tab w:val="left" w:pos="6804" w:leader="none"/>
          <w:tab w:val="left" w:pos="7938" w:leader="none"/>
          <w:tab w:val="left" w:pos="9072" w:leader="none"/>
          <w:tab w:val="left" w:pos="10206" w:leader="none"/>
          <w:tab w:val="left" w:pos="11340" w:leader="none"/>
        </w:tabs>
        <w:jc w:val="both"/>
        <w:rPr>
          <w:rFonts w:ascii="Verdana" w:hAnsi="Verdana" w:eastAsia="Verdana" w:cs="Verdana"/>
          <w:sz w:val="18"/>
          <w:szCs w:val="18"/>
        </w:rPr>
      </w:pPr>
      <w:r>
        <w:rPr>
          <w:rFonts w:eastAsia="Verdana" w:cs="Verdana" w:ascii="Verdana" w:hAnsi="Verdana"/>
          <w:sz w:val="18"/>
          <w:szCs w:val="18"/>
        </w:rPr>
      </w:r>
    </w:p>
    <w:p>
      <w:pPr>
        <w:pStyle w:val="Normal"/>
        <w:pBdr/>
        <w:tabs>
          <w:tab w:val="clear" w:pos="720"/>
          <w:tab w:val="left" w:pos="1134" w:leader="none"/>
          <w:tab w:val="left" w:pos="2268" w:leader="none"/>
          <w:tab w:val="left" w:pos="3402" w:leader="none"/>
          <w:tab w:val="left" w:pos="4536" w:leader="none"/>
          <w:tab w:val="left" w:pos="5670" w:leader="none"/>
          <w:tab w:val="left" w:pos="6804" w:leader="none"/>
          <w:tab w:val="left" w:pos="7938" w:leader="none"/>
          <w:tab w:val="left" w:pos="9072" w:leader="none"/>
          <w:tab w:val="left" w:pos="10206" w:leader="none"/>
          <w:tab w:val="left" w:pos="11340" w:leader="none"/>
        </w:tabs>
        <w:jc w:val="both"/>
        <w:rPr>
          <w:rFonts w:ascii="Verdana" w:hAnsi="Verdana" w:eastAsia="Verdana" w:cs="Verdana"/>
          <w:sz w:val="18"/>
          <w:szCs w:val="18"/>
        </w:rPr>
      </w:pPr>
      <w:r>
        <w:rPr>
          <w:rFonts w:eastAsia="Verdana" w:cs="Verdana" w:ascii="Verdana" w:hAnsi="Verdana"/>
          <w:b/>
          <w:sz w:val="18"/>
          <w:szCs w:val="18"/>
        </w:rPr>
        <w:t xml:space="preserve">5.19.1 - </w:t>
      </w:r>
      <w:r>
        <w:rPr>
          <w:rFonts w:eastAsia="Verdana" w:cs="Verdana" w:ascii="Verdana" w:hAnsi="Verdana"/>
          <w:sz w:val="18"/>
          <w:szCs w:val="18"/>
        </w:rPr>
        <w:t>Em caso de empate entre duas ou mais propostas, será observado o disposto no art. 60 da Lei 14.133, de 2021.</w:t>
      </w:r>
    </w:p>
    <w:p>
      <w:pPr>
        <w:pStyle w:val="Normal"/>
        <w:pBdr/>
        <w:tabs>
          <w:tab w:val="clear" w:pos="720"/>
          <w:tab w:val="left" w:pos="1134" w:leader="none"/>
          <w:tab w:val="left" w:pos="2268" w:leader="none"/>
          <w:tab w:val="left" w:pos="3402" w:leader="none"/>
          <w:tab w:val="left" w:pos="4536" w:leader="none"/>
          <w:tab w:val="left" w:pos="5670" w:leader="none"/>
          <w:tab w:val="left" w:pos="6804" w:leader="none"/>
          <w:tab w:val="left" w:pos="7938" w:leader="none"/>
          <w:tab w:val="left" w:pos="9072" w:leader="none"/>
          <w:tab w:val="left" w:pos="10206" w:leader="none"/>
          <w:tab w:val="left" w:pos="11340" w:leader="none"/>
        </w:tabs>
        <w:jc w:val="both"/>
        <w:rPr>
          <w:rFonts w:ascii="Verdana" w:hAnsi="Verdana" w:eastAsia="Verdana" w:cs="Verdana"/>
          <w:sz w:val="18"/>
          <w:szCs w:val="18"/>
        </w:rPr>
      </w:pPr>
      <w:r>
        <w:rPr>
          <w:rFonts w:eastAsia="Verdana" w:cs="Verdana" w:ascii="Verdana" w:hAnsi="Verdana"/>
          <w:sz w:val="18"/>
          <w:szCs w:val="18"/>
        </w:rPr>
      </w:r>
    </w:p>
    <w:p>
      <w:pPr>
        <w:pStyle w:val="Normal"/>
        <w:pBdr/>
        <w:tabs>
          <w:tab w:val="clear" w:pos="720"/>
          <w:tab w:val="left" w:pos="1134" w:leader="none"/>
          <w:tab w:val="left" w:pos="2268" w:leader="none"/>
          <w:tab w:val="left" w:pos="3402" w:leader="none"/>
          <w:tab w:val="left" w:pos="4536" w:leader="none"/>
          <w:tab w:val="left" w:pos="5670" w:leader="none"/>
          <w:tab w:val="left" w:pos="6804" w:leader="none"/>
          <w:tab w:val="left" w:pos="7938" w:leader="none"/>
          <w:tab w:val="left" w:pos="9072" w:leader="none"/>
          <w:tab w:val="left" w:pos="10206" w:leader="none"/>
          <w:tab w:val="left" w:pos="11340" w:leader="none"/>
        </w:tabs>
        <w:jc w:val="both"/>
        <w:rPr>
          <w:rFonts w:ascii="Verdana" w:hAnsi="Verdana" w:eastAsia="Verdana" w:cs="Verdana"/>
          <w:sz w:val="18"/>
          <w:szCs w:val="18"/>
        </w:rPr>
      </w:pPr>
      <w:r>
        <w:rPr>
          <w:rFonts w:eastAsia="Verdana" w:cs="Verdana" w:ascii="Verdana" w:hAnsi="Verdana"/>
          <w:b/>
          <w:sz w:val="18"/>
          <w:szCs w:val="18"/>
        </w:rPr>
        <w:t>5.20 -</w:t>
      </w:r>
      <w:r>
        <w:rPr>
          <w:rFonts w:eastAsia="Verdana" w:cs="Verdana" w:ascii="Verdana" w:hAnsi="Verdana"/>
          <w:sz w:val="18"/>
          <w:szCs w:val="18"/>
        </w:rPr>
        <w:t xml:space="preserve"> Encerrada a etapa de envio de lances da sessão pública, na hipótese da proposta do primeiro colocado permanecer acima do preço máximo ou inferior ao desconto definido para a contratação, o pregoeiro poderá negociar condições mais vantajosas, após definido o resultado do julgamento.</w:t>
      </w:r>
    </w:p>
    <w:p>
      <w:pPr>
        <w:pStyle w:val="Normal"/>
        <w:pBdr/>
        <w:tabs>
          <w:tab w:val="clear" w:pos="720"/>
          <w:tab w:val="left" w:pos="1134" w:leader="none"/>
          <w:tab w:val="left" w:pos="2268" w:leader="none"/>
          <w:tab w:val="left" w:pos="3402" w:leader="none"/>
          <w:tab w:val="left" w:pos="4536" w:leader="none"/>
          <w:tab w:val="left" w:pos="5670" w:leader="none"/>
          <w:tab w:val="left" w:pos="6804" w:leader="none"/>
          <w:tab w:val="left" w:pos="7938" w:leader="none"/>
          <w:tab w:val="left" w:pos="9072" w:leader="none"/>
          <w:tab w:val="left" w:pos="10206" w:leader="none"/>
          <w:tab w:val="left" w:pos="11340" w:leader="none"/>
        </w:tabs>
        <w:jc w:val="both"/>
        <w:rPr>
          <w:rFonts w:ascii="Verdana" w:hAnsi="Verdana" w:eastAsia="Verdana" w:cs="Verdana"/>
          <w:sz w:val="18"/>
          <w:szCs w:val="18"/>
        </w:rPr>
      </w:pPr>
      <w:r>
        <w:rPr>
          <w:rFonts w:eastAsia="Verdana" w:cs="Verdana" w:ascii="Verdana" w:hAnsi="Verdana"/>
          <w:sz w:val="18"/>
          <w:szCs w:val="18"/>
        </w:rPr>
      </w:r>
    </w:p>
    <w:p>
      <w:pPr>
        <w:pStyle w:val="Normal"/>
        <w:pBdr/>
        <w:tabs>
          <w:tab w:val="clear" w:pos="720"/>
          <w:tab w:val="left" w:pos="1134" w:leader="none"/>
          <w:tab w:val="left" w:pos="2268" w:leader="none"/>
          <w:tab w:val="left" w:pos="3402" w:leader="none"/>
          <w:tab w:val="left" w:pos="4536" w:leader="none"/>
          <w:tab w:val="left" w:pos="5670" w:leader="none"/>
          <w:tab w:val="left" w:pos="6804" w:leader="none"/>
          <w:tab w:val="left" w:pos="7938" w:leader="none"/>
          <w:tab w:val="left" w:pos="9072" w:leader="none"/>
          <w:tab w:val="left" w:pos="10206" w:leader="none"/>
          <w:tab w:val="left" w:pos="11340" w:leader="none"/>
        </w:tabs>
        <w:ind w:left="284" w:hanging="0"/>
        <w:jc w:val="both"/>
        <w:rPr>
          <w:rFonts w:ascii="Verdana" w:hAnsi="Verdana" w:eastAsia="Verdana" w:cs="Verdana"/>
          <w:sz w:val="18"/>
          <w:szCs w:val="18"/>
        </w:rPr>
      </w:pPr>
      <w:r>
        <w:rPr>
          <w:rFonts w:eastAsia="Verdana" w:cs="Verdana" w:ascii="Verdana" w:hAnsi="Verdana"/>
          <w:b/>
          <w:sz w:val="18"/>
          <w:szCs w:val="18"/>
        </w:rPr>
        <w:t>5.20.1 -</w:t>
      </w:r>
      <w:r>
        <w:rPr>
          <w:rFonts w:eastAsia="Verdana" w:cs="Verdana" w:ascii="Verdana" w:hAnsi="Verdana"/>
          <w:sz w:val="18"/>
          <w:szCs w:val="18"/>
        </w:rPr>
        <w:t xml:space="preserve"> 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pPr>
        <w:pStyle w:val="Normal"/>
        <w:pBdr/>
        <w:tabs>
          <w:tab w:val="clear" w:pos="720"/>
          <w:tab w:val="left" w:pos="1134" w:leader="none"/>
          <w:tab w:val="left" w:pos="2268" w:leader="none"/>
          <w:tab w:val="left" w:pos="3402" w:leader="none"/>
          <w:tab w:val="left" w:pos="4536" w:leader="none"/>
          <w:tab w:val="left" w:pos="5670" w:leader="none"/>
          <w:tab w:val="left" w:pos="6804" w:leader="none"/>
          <w:tab w:val="left" w:pos="7938" w:leader="none"/>
          <w:tab w:val="left" w:pos="9072" w:leader="none"/>
          <w:tab w:val="left" w:pos="10206" w:leader="none"/>
          <w:tab w:val="left" w:pos="11340" w:leader="none"/>
        </w:tabs>
        <w:ind w:left="284" w:hanging="0"/>
        <w:jc w:val="both"/>
        <w:rPr>
          <w:rFonts w:ascii="Verdana" w:hAnsi="Verdana" w:eastAsia="Verdana" w:cs="Verdana"/>
          <w:sz w:val="18"/>
          <w:szCs w:val="18"/>
        </w:rPr>
      </w:pPr>
      <w:r>
        <w:rPr>
          <w:rFonts w:eastAsia="Verdana" w:cs="Verdana" w:ascii="Verdana" w:hAnsi="Verdana"/>
          <w:sz w:val="18"/>
          <w:szCs w:val="18"/>
        </w:rPr>
      </w:r>
    </w:p>
    <w:p>
      <w:pPr>
        <w:pStyle w:val="Normal"/>
        <w:pBdr/>
        <w:tabs>
          <w:tab w:val="clear" w:pos="720"/>
          <w:tab w:val="left" w:pos="1134" w:leader="none"/>
          <w:tab w:val="left" w:pos="2268" w:leader="none"/>
          <w:tab w:val="left" w:pos="3402" w:leader="none"/>
          <w:tab w:val="left" w:pos="4536" w:leader="none"/>
          <w:tab w:val="left" w:pos="5670" w:leader="none"/>
          <w:tab w:val="left" w:pos="6804" w:leader="none"/>
          <w:tab w:val="left" w:pos="7938" w:leader="none"/>
          <w:tab w:val="left" w:pos="9072" w:leader="none"/>
          <w:tab w:val="left" w:pos="10206" w:leader="none"/>
          <w:tab w:val="left" w:pos="11340" w:leader="none"/>
        </w:tabs>
        <w:ind w:left="284" w:hanging="0"/>
        <w:jc w:val="both"/>
        <w:rPr>
          <w:rFonts w:ascii="Verdana" w:hAnsi="Verdana" w:eastAsia="Verdana" w:cs="Verdana"/>
          <w:sz w:val="18"/>
          <w:szCs w:val="18"/>
        </w:rPr>
      </w:pPr>
      <w:r>
        <w:rPr>
          <w:rFonts w:eastAsia="Verdana" w:cs="Verdana" w:ascii="Verdana" w:hAnsi="Verdana"/>
          <w:b/>
          <w:sz w:val="18"/>
          <w:szCs w:val="18"/>
        </w:rPr>
        <w:t xml:space="preserve">5.20.2 - </w:t>
      </w:r>
      <w:r>
        <w:rPr>
          <w:rFonts w:eastAsia="Verdana" w:cs="Verdana" w:ascii="Verdana" w:hAnsi="Verdana"/>
          <w:sz w:val="18"/>
          <w:szCs w:val="18"/>
        </w:rPr>
        <w:t>A negociação será realizada por meio do sistema, podendo ser acompanhada pelos demais licitantes.</w:t>
      </w:r>
    </w:p>
    <w:p>
      <w:pPr>
        <w:pStyle w:val="Normal"/>
        <w:pBdr/>
        <w:tabs>
          <w:tab w:val="clear" w:pos="720"/>
          <w:tab w:val="left" w:pos="1134" w:leader="none"/>
          <w:tab w:val="left" w:pos="2268" w:leader="none"/>
          <w:tab w:val="left" w:pos="3402" w:leader="none"/>
          <w:tab w:val="left" w:pos="4536" w:leader="none"/>
          <w:tab w:val="left" w:pos="5670" w:leader="none"/>
          <w:tab w:val="left" w:pos="6804" w:leader="none"/>
          <w:tab w:val="left" w:pos="7938" w:leader="none"/>
          <w:tab w:val="left" w:pos="9072" w:leader="none"/>
          <w:tab w:val="left" w:pos="10206" w:leader="none"/>
          <w:tab w:val="left" w:pos="11340" w:leader="none"/>
        </w:tabs>
        <w:ind w:left="284" w:hanging="0"/>
        <w:jc w:val="both"/>
        <w:rPr>
          <w:rFonts w:ascii="Verdana" w:hAnsi="Verdana" w:eastAsia="Verdana" w:cs="Verdana"/>
          <w:sz w:val="18"/>
          <w:szCs w:val="18"/>
        </w:rPr>
      </w:pPr>
      <w:r>
        <w:rPr>
          <w:rFonts w:eastAsia="Verdana" w:cs="Verdana" w:ascii="Verdana" w:hAnsi="Verdana"/>
          <w:sz w:val="18"/>
          <w:szCs w:val="18"/>
        </w:rPr>
      </w:r>
    </w:p>
    <w:p>
      <w:pPr>
        <w:pStyle w:val="Normal"/>
        <w:pBdr/>
        <w:tabs>
          <w:tab w:val="clear" w:pos="720"/>
          <w:tab w:val="left" w:pos="1134" w:leader="none"/>
          <w:tab w:val="left" w:pos="2268" w:leader="none"/>
          <w:tab w:val="left" w:pos="3402" w:leader="none"/>
          <w:tab w:val="left" w:pos="4536" w:leader="none"/>
          <w:tab w:val="left" w:pos="5670" w:leader="none"/>
          <w:tab w:val="left" w:pos="6804" w:leader="none"/>
          <w:tab w:val="left" w:pos="7938" w:leader="none"/>
          <w:tab w:val="left" w:pos="9072" w:leader="none"/>
          <w:tab w:val="left" w:pos="10206" w:leader="none"/>
          <w:tab w:val="left" w:pos="11340" w:leader="none"/>
        </w:tabs>
        <w:ind w:left="284" w:hanging="0"/>
        <w:jc w:val="both"/>
        <w:rPr>
          <w:rFonts w:ascii="Verdana" w:hAnsi="Verdana" w:eastAsia="Verdana" w:cs="Verdana"/>
          <w:sz w:val="18"/>
          <w:szCs w:val="18"/>
        </w:rPr>
      </w:pPr>
      <w:r>
        <w:rPr>
          <w:rFonts w:eastAsia="Verdana" w:cs="Verdana" w:ascii="Verdana" w:hAnsi="Verdana"/>
          <w:b/>
          <w:sz w:val="18"/>
          <w:szCs w:val="18"/>
        </w:rPr>
        <w:t>5.20.3 -</w:t>
      </w:r>
      <w:r>
        <w:rPr>
          <w:rFonts w:eastAsia="Verdana" w:cs="Verdana" w:ascii="Verdana" w:hAnsi="Verdana"/>
          <w:sz w:val="18"/>
          <w:szCs w:val="18"/>
        </w:rPr>
        <w:t xml:space="preserve"> O resultado da negociação será divulgado a todos os licitantes e anexado aos autos do processo licitatório.</w:t>
      </w:r>
    </w:p>
    <w:p>
      <w:pPr>
        <w:pStyle w:val="Normal"/>
        <w:pBdr/>
        <w:tabs>
          <w:tab w:val="clear" w:pos="720"/>
          <w:tab w:val="left" w:pos="1134" w:leader="none"/>
          <w:tab w:val="left" w:pos="2268" w:leader="none"/>
          <w:tab w:val="left" w:pos="3402" w:leader="none"/>
          <w:tab w:val="left" w:pos="4536" w:leader="none"/>
          <w:tab w:val="left" w:pos="5670" w:leader="none"/>
          <w:tab w:val="left" w:pos="6804" w:leader="none"/>
          <w:tab w:val="left" w:pos="7938" w:leader="none"/>
          <w:tab w:val="left" w:pos="9072" w:leader="none"/>
          <w:tab w:val="left" w:pos="10206" w:leader="none"/>
          <w:tab w:val="left" w:pos="11340" w:leader="none"/>
        </w:tabs>
        <w:ind w:left="284" w:hanging="0"/>
        <w:jc w:val="both"/>
        <w:rPr>
          <w:rFonts w:ascii="Verdana" w:hAnsi="Verdana" w:eastAsia="Verdana" w:cs="Verdana"/>
          <w:sz w:val="18"/>
          <w:szCs w:val="18"/>
        </w:rPr>
      </w:pPr>
      <w:r>
        <w:rPr>
          <w:rFonts w:eastAsia="Verdana" w:cs="Verdana" w:ascii="Verdana" w:hAnsi="Verdana"/>
          <w:sz w:val="18"/>
          <w:szCs w:val="18"/>
        </w:rPr>
      </w:r>
    </w:p>
    <w:p>
      <w:pPr>
        <w:pStyle w:val="Normal"/>
        <w:pBdr/>
        <w:tabs>
          <w:tab w:val="clear" w:pos="720"/>
          <w:tab w:val="left" w:pos="1134" w:leader="none"/>
          <w:tab w:val="left" w:pos="2268" w:leader="none"/>
          <w:tab w:val="left" w:pos="3402" w:leader="none"/>
          <w:tab w:val="left" w:pos="4536" w:leader="none"/>
          <w:tab w:val="left" w:pos="5670" w:leader="none"/>
          <w:tab w:val="left" w:pos="6804" w:leader="none"/>
          <w:tab w:val="left" w:pos="7938" w:leader="none"/>
          <w:tab w:val="left" w:pos="9072" w:leader="none"/>
          <w:tab w:val="left" w:pos="10206" w:leader="none"/>
          <w:tab w:val="left" w:pos="11340" w:leader="none"/>
        </w:tabs>
        <w:ind w:left="284" w:hanging="0"/>
        <w:jc w:val="both"/>
        <w:rPr>
          <w:rFonts w:ascii="Verdana" w:hAnsi="Verdana" w:eastAsia="Verdana" w:cs="Verdana"/>
          <w:b/>
          <w:b/>
          <w:sz w:val="18"/>
          <w:szCs w:val="18"/>
        </w:rPr>
      </w:pPr>
      <w:r>
        <w:rPr>
          <w:rFonts w:eastAsia="Verdana" w:cs="Verdana" w:ascii="Verdana" w:hAnsi="Verdana"/>
          <w:b/>
          <w:sz w:val="18"/>
          <w:szCs w:val="18"/>
        </w:rPr>
        <w:t>5.20.4 -</w:t>
      </w:r>
      <w:r>
        <w:rPr>
          <w:rFonts w:eastAsia="Verdana" w:cs="Verdana" w:ascii="Verdana" w:hAnsi="Verdana"/>
          <w:sz w:val="18"/>
          <w:szCs w:val="18"/>
        </w:rPr>
        <w:t xml:space="preserve"> O pregoeiro solicitará ao licitante mais bem classificado que, </w:t>
      </w:r>
      <w:r>
        <w:rPr>
          <w:rFonts w:eastAsia="Verdana" w:cs="Verdana" w:ascii="Verdana" w:hAnsi="Verdana"/>
          <w:b/>
          <w:sz w:val="18"/>
          <w:szCs w:val="18"/>
        </w:rPr>
        <w:t xml:space="preserve">no prazo de até </w:t>
      </w:r>
      <w:r>
        <w:rPr>
          <w:rFonts w:eastAsia="Verdana" w:cs="Verdana" w:ascii="Verdana" w:hAnsi="Verdana"/>
          <w:b/>
          <w:sz w:val="18"/>
          <w:szCs w:val="18"/>
          <w:u w:val="single"/>
        </w:rPr>
        <w:t>02 (duas) horas</w:t>
      </w:r>
      <w:r>
        <w:rPr>
          <w:rFonts w:eastAsia="Verdana" w:cs="Verdana" w:ascii="Verdana" w:hAnsi="Verdana"/>
          <w:sz w:val="18"/>
          <w:szCs w:val="18"/>
        </w:rPr>
        <w:t xml:space="preserve">, envie a proposta adequada ao último lance ofertado após a negociação realizada, acompanhada, se for o caso, dos documentos complementares, quando necessários à confirmação daqueles exigidos neste Edital e já apresentados, </w:t>
      </w:r>
      <w:r>
        <w:rPr>
          <w:rFonts w:eastAsia="Verdana" w:cs="Verdana" w:ascii="Verdana" w:hAnsi="Verdana"/>
          <w:b/>
          <w:sz w:val="18"/>
          <w:szCs w:val="18"/>
        </w:rPr>
        <w:t>conforme modelo de proposta constante do Anexo II deste edital, observando os valores unitários máximos ali estipulados.</w:t>
      </w:r>
    </w:p>
    <w:p>
      <w:pPr>
        <w:pStyle w:val="Normal"/>
        <w:pBdr/>
        <w:tabs>
          <w:tab w:val="clear" w:pos="720"/>
          <w:tab w:val="left" w:pos="1134" w:leader="none"/>
          <w:tab w:val="left" w:pos="2268" w:leader="none"/>
          <w:tab w:val="left" w:pos="3402" w:leader="none"/>
          <w:tab w:val="left" w:pos="4536" w:leader="none"/>
          <w:tab w:val="left" w:pos="5670" w:leader="none"/>
          <w:tab w:val="left" w:pos="6804" w:leader="none"/>
          <w:tab w:val="left" w:pos="7938" w:leader="none"/>
          <w:tab w:val="left" w:pos="9072" w:leader="none"/>
          <w:tab w:val="left" w:pos="10206" w:leader="none"/>
          <w:tab w:val="left" w:pos="11340" w:leader="none"/>
        </w:tabs>
        <w:ind w:left="284" w:hanging="0"/>
        <w:jc w:val="both"/>
        <w:rPr>
          <w:rFonts w:ascii="Verdana" w:hAnsi="Verdana" w:eastAsia="Verdana" w:cs="Verdana"/>
          <w:b/>
          <w:b/>
          <w:sz w:val="18"/>
          <w:szCs w:val="18"/>
        </w:rPr>
      </w:pPr>
      <w:r>
        <w:rPr>
          <w:rFonts w:eastAsia="Verdana" w:cs="Verdana" w:ascii="Verdana" w:hAnsi="Verdana"/>
          <w:b/>
          <w:sz w:val="18"/>
          <w:szCs w:val="18"/>
        </w:rPr>
      </w:r>
    </w:p>
    <w:p>
      <w:pPr>
        <w:pStyle w:val="Normal"/>
        <w:pBdr/>
        <w:tabs>
          <w:tab w:val="clear" w:pos="720"/>
          <w:tab w:val="left" w:pos="1134" w:leader="none"/>
          <w:tab w:val="left" w:pos="2268" w:leader="none"/>
          <w:tab w:val="left" w:pos="3402" w:leader="none"/>
          <w:tab w:val="left" w:pos="4536" w:leader="none"/>
          <w:tab w:val="left" w:pos="5670" w:leader="none"/>
          <w:tab w:val="left" w:pos="6804" w:leader="none"/>
          <w:tab w:val="left" w:pos="7938" w:leader="none"/>
          <w:tab w:val="left" w:pos="9072" w:leader="none"/>
          <w:tab w:val="left" w:pos="10206" w:leader="none"/>
          <w:tab w:val="left" w:pos="11340" w:leader="none"/>
        </w:tabs>
        <w:ind w:left="567" w:hanging="0"/>
        <w:jc w:val="both"/>
        <w:rPr>
          <w:rFonts w:ascii="Verdana" w:hAnsi="Verdana" w:eastAsia="Verdana" w:cs="Verdana"/>
          <w:sz w:val="18"/>
          <w:szCs w:val="18"/>
        </w:rPr>
      </w:pPr>
      <w:r>
        <w:rPr>
          <w:rFonts w:eastAsia="Verdana" w:cs="Verdana" w:ascii="Verdana" w:hAnsi="Verdana"/>
          <w:b/>
          <w:sz w:val="18"/>
          <w:szCs w:val="18"/>
        </w:rPr>
        <w:t xml:space="preserve">5.20.4.1 - </w:t>
      </w:r>
      <w:r>
        <w:rPr>
          <w:rFonts w:eastAsia="Verdana" w:cs="Verdana" w:ascii="Verdana" w:hAnsi="Verdana"/>
          <w:sz w:val="18"/>
          <w:szCs w:val="18"/>
        </w:rPr>
        <w:t>É facultado ao pregoeiro prorrogar o prazo estabelecido, a partir de solicitação fundamentada feita no chat pelo licitante, antes de findo o prazo.</w:t>
      </w:r>
    </w:p>
    <w:p>
      <w:pPr>
        <w:pStyle w:val="Normal"/>
        <w:pBdr/>
        <w:tabs>
          <w:tab w:val="clear" w:pos="720"/>
          <w:tab w:val="left" w:pos="1134" w:leader="none"/>
          <w:tab w:val="left" w:pos="2268" w:leader="none"/>
          <w:tab w:val="left" w:pos="3402" w:leader="none"/>
          <w:tab w:val="left" w:pos="4536" w:leader="none"/>
          <w:tab w:val="left" w:pos="5670" w:leader="none"/>
          <w:tab w:val="left" w:pos="6804" w:leader="none"/>
          <w:tab w:val="left" w:pos="7938" w:leader="none"/>
          <w:tab w:val="left" w:pos="9072" w:leader="none"/>
          <w:tab w:val="left" w:pos="10206" w:leader="none"/>
          <w:tab w:val="left" w:pos="11340" w:leader="none"/>
        </w:tabs>
        <w:ind w:left="567" w:hanging="0"/>
        <w:jc w:val="both"/>
        <w:rPr>
          <w:rFonts w:ascii="Verdana" w:hAnsi="Verdana" w:eastAsia="Verdana" w:cs="Verdana"/>
          <w:b/>
          <w:b/>
          <w:sz w:val="18"/>
          <w:szCs w:val="18"/>
        </w:rPr>
      </w:pPr>
      <w:r>
        <w:rPr>
          <w:rFonts w:eastAsia="Verdana" w:cs="Verdana" w:ascii="Verdana" w:hAnsi="Verdana"/>
          <w:b/>
          <w:sz w:val="18"/>
          <w:szCs w:val="18"/>
        </w:rPr>
      </w:r>
    </w:p>
    <w:p>
      <w:pPr>
        <w:pStyle w:val="Normal"/>
        <w:pBdr/>
        <w:tabs>
          <w:tab w:val="clear" w:pos="720"/>
          <w:tab w:val="left" w:pos="1134" w:leader="none"/>
          <w:tab w:val="left" w:pos="2268" w:leader="none"/>
          <w:tab w:val="left" w:pos="3402" w:leader="none"/>
          <w:tab w:val="left" w:pos="4536" w:leader="none"/>
          <w:tab w:val="left" w:pos="5670" w:leader="none"/>
          <w:tab w:val="left" w:pos="6804" w:leader="none"/>
          <w:tab w:val="left" w:pos="7938" w:leader="none"/>
          <w:tab w:val="left" w:pos="9072" w:leader="none"/>
          <w:tab w:val="left" w:pos="10206" w:leader="none"/>
          <w:tab w:val="left" w:pos="11340" w:leader="none"/>
        </w:tabs>
        <w:ind w:left="567" w:hanging="0"/>
        <w:jc w:val="both"/>
        <w:rPr>
          <w:rFonts w:ascii="Verdana" w:hAnsi="Verdana" w:eastAsia="Verdana" w:cs="Verdana"/>
          <w:b/>
          <w:b/>
          <w:sz w:val="18"/>
          <w:szCs w:val="18"/>
        </w:rPr>
      </w:pPr>
      <w:r>
        <w:rPr>
          <w:rFonts w:eastAsia="Verdana" w:cs="Verdana" w:ascii="Verdana" w:hAnsi="Verdana"/>
          <w:b/>
          <w:sz w:val="18"/>
          <w:szCs w:val="18"/>
        </w:rPr>
        <w:t>5.20.4.2 - Após o prazo estipulado, caso o licitante com a proposta melhor classificada não tenha encaminhado os documentos, o pregoeiro encerrará a convocação, ficando o licitante impossibilitado de encaminhar os mesmos e, consequentemente, sua proposta será DESCLASSIFICADA.</w:t>
      </w:r>
    </w:p>
    <w:p>
      <w:pPr>
        <w:pStyle w:val="Normal"/>
        <w:pBdr/>
        <w:tabs>
          <w:tab w:val="clear" w:pos="720"/>
          <w:tab w:val="left" w:pos="1134" w:leader="none"/>
          <w:tab w:val="left" w:pos="2268" w:leader="none"/>
          <w:tab w:val="left" w:pos="3402" w:leader="none"/>
          <w:tab w:val="left" w:pos="4536" w:leader="none"/>
          <w:tab w:val="left" w:pos="5670" w:leader="none"/>
          <w:tab w:val="left" w:pos="6804" w:leader="none"/>
          <w:tab w:val="left" w:pos="7938" w:leader="none"/>
          <w:tab w:val="left" w:pos="9072" w:leader="none"/>
          <w:tab w:val="left" w:pos="10206" w:leader="none"/>
          <w:tab w:val="left" w:pos="11340" w:leader="none"/>
        </w:tabs>
        <w:ind w:left="284" w:hanging="0"/>
        <w:jc w:val="both"/>
        <w:rPr>
          <w:rFonts w:ascii="Verdana" w:hAnsi="Verdana" w:eastAsia="Verdana" w:cs="Verdana"/>
          <w:b/>
          <w:b/>
          <w:sz w:val="18"/>
          <w:szCs w:val="18"/>
        </w:rPr>
      </w:pPr>
      <w:r>
        <w:rPr>
          <w:rFonts w:eastAsia="Verdana" w:cs="Verdana" w:ascii="Verdana" w:hAnsi="Verdana"/>
          <w:b/>
          <w:sz w:val="18"/>
          <w:szCs w:val="18"/>
        </w:rPr>
      </w:r>
    </w:p>
    <w:p>
      <w:pPr>
        <w:pStyle w:val="Normal"/>
        <w:pBdr/>
        <w:tabs>
          <w:tab w:val="clear" w:pos="720"/>
          <w:tab w:val="left" w:pos="1134" w:leader="none"/>
          <w:tab w:val="left" w:pos="2268" w:leader="none"/>
          <w:tab w:val="left" w:pos="3402" w:leader="none"/>
          <w:tab w:val="left" w:pos="4536" w:leader="none"/>
          <w:tab w:val="left" w:pos="5670" w:leader="none"/>
          <w:tab w:val="left" w:pos="6804" w:leader="none"/>
          <w:tab w:val="left" w:pos="7938" w:leader="none"/>
          <w:tab w:val="left" w:pos="9072" w:leader="none"/>
          <w:tab w:val="left" w:pos="10206" w:leader="none"/>
          <w:tab w:val="left" w:pos="11340" w:leader="none"/>
        </w:tabs>
        <w:jc w:val="both"/>
        <w:rPr>
          <w:rFonts w:ascii="Verdana" w:hAnsi="Verdana" w:eastAsia="Verdana" w:cs="Verdana"/>
          <w:sz w:val="18"/>
          <w:szCs w:val="18"/>
        </w:rPr>
      </w:pPr>
      <w:r>
        <w:rPr>
          <w:rFonts w:eastAsia="Verdana" w:cs="Verdana" w:ascii="Verdana" w:hAnsi="Verdana"/>
          <w:b/>
          <w:sz w:val="18"/>
          <w:szCs w:val="18"/>
        </w:rPr>
        <w:t>5.21 -</w:t>
      </w:r>
      <w:r>
        <w:rPr>
          <w:rFonts w:eastAsia="Verdana" w:cs="Verdana" w:ascii="Verdana" w:hAnsi="Verdana"/>
          <w:sz w:val="18"/>
          <w:szCs w:val="18"/>
        </w:rPr>
        <w:t xml:space="preserve"> Após a negociação do preço, o Pregoeiro iniciará a fase de aceitação e julgamento da proposta.</w:t>
      </w:r>
    </w:p>
    <w:p>
      <w:pPr>
        <w:pStyle w:val="Normal"/>
        <w:pBdr/>
        <w:tabs>
          <w:tab w:val="clear" w:pos="720"/>
          <w:tab w:val="left" w:pos="1134" w:leader="none"/>
          <w:tab w:val="left" w:pos="2268" w:leader="none"/>
          <w:tab w:val="left" w:pos="3402" w:leader="none"/>
          <w:tab w:val="left" w:pos="4536" w:leader="none"/>
          <w:tab w:val="left" w:pos="5670" w:leader="none"/>
          <w:tab w:val="left" w:pos="6804" w:leader="none"/>
          <w:tab w:val="left" w:pos="7938" w:leader="none"/>
          <w:tab w:val="left" w:pos="9072" w:leader="none"/>
          <w:tab w:val="left" w:pos="10206" w:leader="none"/>
          <w:tab w:val="left" w:pos="11340" w:leader="none"/>
        </w:tabs>
        <w:jc w:val="both"/>
        <w:rPr>
          <w:rFonts w:ascii="Verdana" w:hAnsi="Verdana" w:eastAsia="Verdana" w:cs="Verdana"/>
          <w:sz w:val="18"/>
          <w:szCs w:val="18"/>
        </w:rPr>
      </w:pPr>
      <w:r>
        <w:rPr>
          <w:rFonts w:eastAsia="Verdana" w:cs="Verdana" w:ascii="Verdana" w:hAnsi="Verdana"/>
          <w:sz w:val="18"/>
          <w:szCs w:val="18"/>
        </w:rPr>
      </w:r>
    </w:p>
    <w:p>
      <w:pPr>
        <w:pStyle w:val="Normal"/>
        <w:pBdr/>
        <w:shd w:val="clear" w:color="auto" w:fill="C0C0C0"/>
        <w:tabs>
          <w:tab w:val="clear" w:pos="720"/>
          <w:tab w:val="left" w:pos="1134" w:leader="none"/>
          <w:tab w:val="left" w:pos="2268" w:leader="none"/>
          <w:tab w:val="left" w:pos="3402" w:leader="none"/>
          <w:tab w:val="left" w:pos="4536" w:leader="none"/>
          <w:tab w:val="left" w:pos="5670" w:leader="none"/>
          <w:tab w:val="left" w:pos="6804" w:leader="none"/>
          <w:tab w:val="left" w:pos="7938" w:leader="none"/>
          <w:tab w:val="left" w:pos="9072" w:leader="none"/>
          <w:tab w:val="left" w:pos="10206" w:leader="none"/>
          <w:tab w:val="left" w:pos="11340" w:leader="none"/>
        </w:tabs>
        <w:jc w:val="both"/>
        <w:rPr>
          <w:rFonts w:ascii="Verdana" w:hAnsi="Verdana" w:eastAsia="Verdana" w:cs="Verdana"/>
          <w:b/>
          <w:b/>
          <w:sz w:val="18"/>
          <w:szCs w:val="18"/>
        </w:rPr>
      </w:pPr>
      <w:r>
        <w:rPr>
          <w:rFonts w:eastAsia="Verdana" w:cs="Verdana" w:ascii="Verdana" w:hAnsi="Verdana"/>
          <w:b/>
          <w:sz w:val="18"/>
          <w:szCs w:val="18"/>
        </w:rPr>
        <w:t>6 - DA FASE DE JULGAMENTO</w:t>
      </w:r>
    </w:p>
    <w:p>
      <w:pPr>
        <w:pStyle w:val="Normal"/>
        <w:pBdr/>
        <w:tabs>
          <w:tab w:val="clear" w:pos="720"/>
          <w:tab w:val="left" w:pos="1134" w:leader="none"/>
          <w:tab w:val="left" w:pos="2268" w:leader="none"/>
          <w:tab w:val="left" w:pos="3402" w:leader="none"/>
          <w:tab w:val="left" w:pos="4536" w:leader="none"/>
          <w:tab w:val="left" w:pos="5670" w:leader="none"/>
          <w:tab w:val="left" w:pos="6804" w:leader="none"/>
          <w:tab w:val="left" w:pos="7938" w:leader="none"/>
          <w:tab w:val="left" w:pos="9072" w:leader="none"/>
          <w:tab w:val="left" w:pos="10206" w:leader="none"/>
          <w:tab w:val="left" w:pos="11340" w:leader="none"/>
        </w:tabs>
        <w:jc w:val="both"/>
        <w:rPr>
          <w:rFonts w:ascii="Verdana" w:hAnsi="Verdana" w:eastAsia="Verdana" w:cs="Verdana"/>
          <w:b/>
          <w:b/>
          <w:sz w:val="18"/>
          <w:szCs w:val="18"/>
        </w:rPr>
      </w:pPr>
      <w:r>
        <w:rPr>
          <w:rFonts w:eastAsia="Verdana" w:cs="Verdana" w:ascii="Verdana" w:hAnsi="Verdana"/>
          <w:b/>
          <w:sz w:val="18"/>
          <w:szCs w:val="18"/>
        </w:rPr>
      </w:r>
    </w:p>
    <w:p>
      <w:pPr>
        <w:pStyle w:val="Normal"/>
        <w:pBdr/>
        <w:tabs>
          <w:tab w:val="clear" w:pos="720"/>
          <w:tab w:val="left" w:pos="1134" w:leader="none"/>
          <w:tab w:val="left" w:pos="2268" w:leader="none"/>
          <w:tab w:val="left" w:pos="3402" w:leader="none"/>
          <w:tab w:val="left" w:pos="4536" w:leader="none"/>
          <w:tab w:val="left" w:pos="5670" w:leader="none"/>
          <w:tab w:val="left" w:pos="6804" w:leader="none"/>
          <w:tab w:val="left" w:pos="7938" w:leader="none"/>
          <w:tab w:val="left" w:pos="9072" w:leader="none"/>
          <w:tab w:val="left" w:pos="10206" w:leader="none"/>
          <w:tab w:val="left" w:pos="11340" w:leader="none"/>
        </w:tabs>
        <w:jc w:val="both"/>
        <w:rPr>
          <w:rFonts w:ascii="Verdana" w:hAnsi="Verdana" w:eastAsia="Verdana" w:cs="Verdana"/>
          <w:sz w:val="18"/>
          <w:szCs w:val="18"/>
        </w:rPr>
      </w:pPr>
      <w:r>
        <w:rPr>
          <w:rFonts w:eastAsia="Verdana" w:cs="Verdana" w:ascii="Verdana" w:hAnsi="Verdana"/>
          <w:b/>
          <w:sz w:val="18"/>
          <w:szCs w:val="18"/>
        </w:rPr>
        <w:t xml:space="preserve">6.1 - </w:t>
      </w:r>
      <w:r>
        <w:rPr>
          <w:rFonts w:eastAsia="Verdana" w:cs="Verdana" w:ascii="Verdana" w:hAnsi="Verdana"/>
          <w:sz w:val="18"/>
          <w:szCs w:val="18"/>
        </w:rPr>
        <w:t>Encerrada a etapa de negociação, o pregoeiro verificará se o licitante provisoriamente classificado em primeiro lugar atende às condições de participação no certame, conforme previsto no art. 14 da Lei nº 14.133/2021, legislação correlata e no item 2.7 do edital, especialmente quanto à existência de sanção que impeça a participação no certame ou a futura contratação, mediante a consulta aos seguintes cadastros:</w:t>
      </w:r>
    </w:p>
    <w:p>
      <w:pPr>
        <w:pStyle w:val="Normal"/>
        <w:ind w:left="284" w:hanging="0"/>
        <w:jc w:val="both"/>
        <w:rPr>
          <w:rFonts w:ascii="Verdana" w:hAnsi="Verdana" w:eastAsia="Verdana" w:cs="Verdana"/>
          <w:sz w:val="18"/>
          <w:szCs w:val="18"/>
        </w:rPr>
      </w:pPr>
      <w:r>
        <w:rPr>
          <w:rFonts w:eastAsia="Verdana" w:cs="Verdana" w:ascii="Verdana" w:hAnsi="Verdana"/>
          <w:b/>
          <w:sz w:val="18"/>
          <w:szCs w:val="18"/>
        </w:rPr>
        <w:t>a)</w:t>
      </w:r>
      <w:r>
        <w:rPr>
          <w:rFonts w:eastAsia="Verdana" w:cs="Verdana" w:ascii="Verdana" w:hAnsi="Verdana"/>
          <w:sz w:val="18"/>
          <w:szCs w:val="18"/>
        </w:rPr>
        <w:t xml:space="preserve"> SICAF;</w:t>
      </w:r>
    </w:p>
    <w:p>
      <w:pPr>
        <w:pStyle w:val="Normal"/>
        <w:ind w:left="284" w:hanging="0"/>
        <w:jc w:val="both"/>
        <w:rPr>
          <w:rFonts w:ascii="Verdana" w:hAnsi="Verdana" w:eastAsia="Verdana" w:cs="Verdana"/>
          <w:sz w:val="18"/>
          <w:szCs w:val="18"/>
        </w:rPr>
      </w:pPr>
      <w:r>
        <w:rPr>
          <w:rFonts w:eastAsia="Verdana" w:cs="Verdana" w:ascii="Verdana" w:hAnsi="Verdana"/>
          <w:b/>
          <w:sz w:val="18"/>
          <w:szCs w:val="18"/>
        </w:rPr>
        <w:t>b)</w:t>
      </w:r>
      <w:r>
        <w:rPr>
          <w:rFonts w:eastAsia="Verdana" w:cs="Verdana" w:ascii="Verdana" w:hAnsi="Verdana"/>
          <w:sz w:val="18"/>
          <w:szCs w:val="18"/>
        </w:rPr>
        <w:t xml:space="preserve"> Consulta consolidada de Pessoa Jurídica, mantida pelo Tribunal de Contas da União – TCU &lt;https://certidoes-apf.apps.tcu.gov.br/&gt;.</w:t>
      </w:r>
    </w:p>
    <w:p>
      <w:pPr>
        <w:pStyle w:val="Normal"/>
        <w:pBdr/>
        <w:tabs>
          <w:tab w:val="clear" w:pos="720"/>
          <w:tab w:val="left" w:pos="1134" w:leader="none"/>
          <w:tab w:val="left" w:pos="2268" w:leader="none"/>
          <w:tab w:val="left" w:pos="3402" w:leader="none"/>
          <w:tab w:val="left" w:pos="4536" w:leader="none"/>
          <w:tab w:val="left" w:pos="5670" w:leader="none"/>
          <w:tab w:val="left" w:pos="6804" w:leader="none"/>
          <w:tab w:val="left" w:pos="7938" w:leader="none"/>
          <w:tab w:val="left" w:pos="9072" w:leader="none"/>
          <w:tab w:val="left" w:pos="10206" w:leader="none"/>
          <w:tab w:val="left" w:pos="11340" w:leader="none"/>
        </w:tabs>
        <w:jc w:val="both"/>
        <w:rPr>
          <w:rFonts w:ascii="Verdana" w:hAnsi="Verdana" w:eastAsia="Verdana" w:cs="Verdana"/>
          <w:sz w:val="18"/>
          <w:szCs w:val="18"/>
        </w:rPr>
      </w:pPr>
      <w:r>
        <w:rPr>
          <w:rFonts w:eastAsia="Verdana" w:cs="Verdana" w:ascii="Verdana" w:hAnsi="Verdana"/>
          <w:sz w:val="18"/>
          <w:szCs w:val="18"/>
        </w:rPr>
      </w:r>
    </w:p>
    <w:p>
      <w:pPr>
        <w:pStyle w:val="Normal"/>
        <w:pBdr/>
        <w:tabs>
          <w:tab w:val="clear" w:pos="720"/>
          <w:tab w:val="left" w:pos="1134" w:leader="none"/>
          <w:tab w:val="left" w:pos="2268" w:leader="none"/>
          <w:tab w:val="left" w:pos="3402" w:leader="none"/>
          <w:tab w:val="left" w:pos="4536" w:leader="none"/>
          <w:tab w:val="left" w:pos="5670" w:leader="none"/>
          <w:tab w:val="left" w:pos="6804" w:leader="none"/>
          <w:tab w:val="left" w:pos="7938" w:leader="none"/>
          <w:tab w:val="left" w:pos="9072" w:leader="none"/>
          <w:tab w:val="left" w:pos="10206" w:leader="none"/>
          <w:tab w:val="left" w:pos="11340" w:leader="none"/>
        </w:tabs>
        <w:jc w:val="both"/>
        <w:rPr>
          <w:rFonts w:ascii="Verdana" w:hAnsi="Verdana" w:eastAsia="Verdana" w:cs="Verdana"/>
          <w:sz w:val="18"/>
          <w:szCs w:val="18"/>
        </w:rPr>
      </w:pPr>
      <w:r>
        <w:rPr>
          <w:rFonts w:eastAsia="Verdana" w:cs="Verdana" w:ascii="Verdana" w:hAnsi="Verdana"/>
          <w:b/>
          <w:sz w:val="18"/>
          <w:szCs w:val="18"/>
        </w:rPr>
        <w:t xml:space="preserve">6.2 - </w:t>
      </w:r>
      <w:r>
        <w:rPr>
          <w:rFonts w:eastAsia="Verdana" w:cs="Verdana" w:ascii="Verdana" w:hAnsi="Verdana"/>
          <w:sz w:val="18"/>
          <w:szCs w:val="18"/>
        </w:rPr>
        <w:t>A consulta aos cadastros será realizada em nome da empresa licitante e também de seu sócio majoritário, por força do art. 12 da Lei nº 8.429/1992, que prevê, dentre as sanções impostas ao responsável pela prática de ato de improbidade administrativa, a proibição de contratar com o Poder Público, inclusive por intermédio de pessoa jurídica da qual seja sócio majoritário.</w:t>
      </w:r>
    </w:p>
    <w:p>
      <w:pPr>
        <w:pStyle w:val="Normal"/>
        <w:pBdr/>
        <w:tabs>
          <w:tab w:val="clear" w:pos="720"/>
          <w:tab w:val="left" w:pos="1134" w:leader="none"/>
          <w:tab w:val="left" w:pos="2268" w:leader="none"/>
          <w:tab w:val="left" w:pos="3402" w:leader="none"/>
          <w:tab w:val="left" w:pos="4536" w:leader="none"/>
          <w:tab w:val="left" w:pos="5670" w:leader="none"/>
          <w:tab w:val="left" w:pos="6804" w:leader="none"/>
          <w:tab w:val="left" w:pos="7938" w:leader="none"/>
          <w:tab w:val="left" w:pos="9072" w:leader="none"/>
          <w:tab w:val="left" w:pos="10206" w:leader="none"/>
          <w:tab w:val="left" w:pos="11340" w:leader="none"/>
        </w:tabs>
        <w:jc w:val="both"/>
        <w:rPr>
          <w:rFonts w:ascii="Verdana" w:hAnsi="Verdana" w:eastAsia="Verdana" w:cs="Verdana"/>
          <w:sz w:val="18"/>
          <w:szCs w:val="18"/>
        </w:rPr>
      </w:pPr>
      <w:r>
        <w:rPr>
          <w:rFonts w:eastAsia="Verdana" w:cs="Verdana" w:ascii="Verdana" w:hAnsi="Verdana"/>
          <w:sz w:val="18"/>
          <w:szCs w:val="18"/>
        </w:rPr>
      </w:r>
    </w:p>
    <w:p>
      <w:pPr>
        <w:pStyle w:val="Normal"/>
        <w:pBdr/>
        <w:tabs>
          <w:tab w:val="clear" w:pos="720"/>
          <w:tab w:val="left" w:pos="1134" w:leader="none"/>
          <w:tab w:val="left" w:pos="2268" w:leader="none"/>
          <w:tab w:val="left" w:pos="3402" w:leader="none"/>
          <w:tab w:val="left" w:pos="4536" w:leader="none"/>
          <w:tab w:val="left" w:pos="5670" w:leader="none"/>
          <w:tab w:val="left" w:pos="6804" w:leader="none"/>
          <w:tab w:val="left" w:pos="7938" w:leader="none"/>
          <w:tab w:val="left" w:pos="9072" w:leader="none"/>
          <w:tab w:val="left" w:pos="10206" w:leader="none"/>
          <w:tab w:val="left" w:pos="11340" w:leader="none"/>
        </w:tabs>
        <w:jc w:val="both"/>
        <w:rPr>
          <w:rFonts w:ascii="Verdana" w:hAnsi="Verdana" w:eastAsia="Verdana" w:cs="Verdana"/>
          <w:sz w:val="18"/>
          <w:szCs w:val="18"/>
        </w:rPr>
      </w:pPr>
      <w:r>
        <w:rPr>
          <w:rFonts w:eastAsia="Verdana" w:cs="Verdana" w:ascii="Verdana" w:hAnsi="Verdana"/>
          <w:b/>
          <w:sz w:val="18"/>
          <w:szCs w:val="18"/>
        </w:rPr>
        <w:t xml:space="preserve">6.3 - </w:t>
      </w:r>
      <w:r>
        <w:rPr>
          <w:rFonts w:eastAsia="Verdana" w:cs="Verdana" w:ascii="Verdana" w:hAnsi="Verdana"/>
          <w:sz w:val="18"/>
          <w:szCs w:val="18"/>
        </w:rPr>
        <w:t>Caso conste na Consulta de Situação do licitante a existência de Ocorrências Impeditivas Indiretas, o Pregoeiro diligenciará para verificar se houve fraude por parte das empresas apontadas no Relatório de Ocorrências Impeditivas Indiretas.</w:t>
      </w:r>
    </w:p>
    <w:p>
      <w:pPr>
        <w:pStyle w:val="Normal"/>
        <w:pBdr/>
        <w:tabs>
          <w:tab w:val="clear" w:pos="720"/>
          <w:tab w:val="left" w:pos="1134" w:leader="none"/>
          <w:tab w:val="left" w:pos="2268" w:leader="none"/>
          <w:tab w:val="left" w:pos="3402" w:leader="none"/>
          <w:tab w:val="left" w:pos="4536" w:leader="none"/>
          <w:tab w:val="left" w:pos="5670" w:leader="none"/>
          <w:tab w:val="left" w:pos="6804" w:leader="none"/>
          <w:tab w:val="left" w:pos="7938" w:leader="none"/>
          <w:tab w:val="left" w:pos="9072" w:leader="none"/>
          <w:tab w:val="left" w:pos="10206" w:leader="none"/>
          <w:tab w:val="left" w:pos="11340" w:leader="none"/>
        </w:tabs>
        <w:jc w:val="both"/>
        <w:rPr>
          <w:rFonts w:ascii="Verdana" w:hAnsi="Verdana" w:eastAsia="Verdana" w:cs="Verdana"/>
          <w:sz w:val="18"/>
          <w:szCs w:val="18"/>
        </w:rPr>
      </w:pPr>
      <w:r>
        <w:rPr>
          <w:rFonts w:eastAsia="Verdana" w:cs="Verdana" w:ascii="Verdana" w:hAnsi="Verdana"/>
          <w:sz w:val="18"/>
          <w:szCs w:val="18"/>
        </w:rPr>
      </w:r>
    </w:p>
    <w:p>
      <w:pPr>
        <w:pStyle w:val="Normal"/>
        <w:pBdr/>
        <w:tabs>
          <w:tab w:val="clear" w:pos="720"/>
          <w:tab w:val="left" w:pos="1134" w:leader="none"/>
          <w:tab w:val="left" w:pos="2268" w:leader="none"/>
          <w:tab w:val="left" w:pos="3402" w:leader="none"/>
          <w:tab w:val="left" w:pos="4536" w:leader="none"/>
          <w:tab w:val="left" w:pos="5670" w:leader="none"/>
          <w:tab w:val="left" w:pos="6804" w:leader="none"/>
          <w:tab w:val="left" w:pos="7938" w:leader="none"/>
          <w:tab w:val="left" w:pos="9072" w:leader="none"/>
          <w:tab w:val="left" w:pos="10206" w:leader="none"/>
          <w:tab w:val="left" w:pos="11340" w:leader="none"/>
        </w:tabs>
        <w:ind w:left="284" w:hanging="0"/>
        <w:jc w:val="both"/>
        <w:rPr>
          <w:rFonts w:ascii="Verdana" w:hAnsi="Verdana" w:eastAsia="Verdana" w:cs="Verdana"/>
          <w:sz w:val="18"/>
          <w:szCs w:val="18"/>
        </w:rPr>
      </w:pPr>
      <w:r>
        <w:rPr>
          <w:rFonts w:eastAsia="Verdana" w:cs="Verdana" w:ascii="Verdana" w:hAnsi="Verdana"/>
          <w:b/>
          <w:sz w:val="18"/>
          <w:szCs w:val="18"/>
        </w:rPr>
        <w:t>6.3.1 -</w:t>
      </w:r>
      <w:r>
        <w:rPr>
          <w:rFonts w:eastAsia="Verdana" w:cs="Verdana" w:ascii="Verdana" w:hAnsi="Verdana"/>
          <w:sz w:val="18"/>
          <w:szCs w:val="18"/>
        </w:rPr>
        <w:t xml:space="preserve"> A tentativa de burla será verificada por meio dos vínculos societários, linhas de fornecimento similares, dentre outros.</w:t>
      </w:r>
    </w:p>
    <w:p>
      <w:pPr>
        <w:pStyle w:val="Normal"/>
        <w:pBdr/>
        <w:tabs>
          <w:tab w:val="clear" w:pos="720"/>
          <w:tab w:val="left" w:pos="1134" w:leader="none"/>
          <w:tab w:val="left" w:pos="2268" w:leader="none"/>
          <w:tab w:val="left" w:pos="3402" w:leader="none"/>
          <w:tab w:val="left" w:pos="4536" w:leader="none"/>
          <w:tab w:val="left" w:pos="5670" w:leader="none"/>
          <w:tab w:val="left" w:pos="6804" w:leader="none"/>
          <w:tab w:val="left" w:pos="7938" w:leader="none"/>
          <w:tab w:val="left" w:pos="9072" w:leader="none"/>
          <w:tab w:val="left" w:pos="10206" w:leader="none"/>
          <w:tab w:val="left" w:pos="11340" w:leader="none"/>
        </w:tabs>
        <w:ind w:left="284" w:hanging="0"/>
        <w:jc w:val="both"/>
        <w:rPr>
          <w:rFonts w:ascii="Verdana" w:hAnsi="Verdana" w:eastAsia="Verdana" w:cs="Verdana"/>
          <w:sz w:val="18"/>
          <w:szCs w:val="18"/>
        </w:rPr>
      </w:pPr>
      <w:r>
        <w:rPr>
          <w:rFonts w:eastAsia="Verdana" w:cs="Verdana" w:ascii="Verdana" w:hAnsi="Verdana"/>
          <w:sz w:val="18"/>
          <w:szCs w:val="18"/>
        </w:rPr>
      </w:r>
    </w:p>
    <w:p>
      <w:pPr>
        <w:pStyle w:val="Normal"/>
        <w:pBdr/>
        <w:tabs>
          <w:tab w:val="clear" w:pos="720"/>
          <w:tab w:val="left" w:pos="1134" w:leader="none"/>
          <w:tab w:val="left" w:pos="2268" w:leader="none"/>
          <w:tab w:val="left" w:pos="3402" w:leader="none"/>
          <w:tab w:val="left" w:pos="4536" w:leader="none"/>
          <w:tab w:val="left" w:pos="5670" w:leader="none"/>
          <w:tab w:val="left" w:pos="6804" w:leader="none"/>
          <w:tab w:val="left" w:pos="7938" w:leader="none"/>
          <w:tab w:val="left" w:pos="9072" w:leader="none"/>
          <w:tab w:val="left" w:pos="10206" w:leader="none"/>
          <w:tab w:val="left" w:pos="11340" w:leader="none"/>
        </w:tabs>
        <w:ind w:left="284" w:hanging="0"/>
        <w:jc w:val="both"/>
        <w:rPr>
          <w:rFonts w:ascii="Verdana" w:hAnsi="Verdana" w:eastAsia="Verdana" w:cs="Verdana"/>
          <w:sz w:val="18"/>
          <w:szCs w:val="18"/>
        </w:rPr>
      </w:pPr>
      <w:r>
        <w:rPr>
          <w:rFonts w:eastAsia="Verdana" w:cs="Verdana" w:ascii="Verdana" w:hAnsi="Verdana"/>
          <w:b/>
          <w:sz w:val="18"/>
          <w:szCs w:val="18"/>
        </w:rPr>
        <w:t>6.3.2 -</w:t>
      </w:r>
      <w:r>
        <w:rPr>
          <w:rFonts w:eastAsia="Verdana" w:cs="Verdana" w:ascii="Verdana" w:hAnsi="Verdana"/>
          <w:sz w:val="18"/>
          <w:szCs w:val="18"/>
        </w:rPr>
        <w:t xml:space="preserve"> O licitante será convocado para manifestação previamente a uma eventual desclassificação.</w:t>
      </w:r>
    </w:p>
    <w:p>
      <w:pPr>
        <w:pStyle w:val="Normal"/>
        <w:pBdr/>
        <w:tabs>
          <w:tab w:val="clear" w:pos="720"/>
          <w:tab w:val="left" w:pos="1134" w:leader="none"/>
          <w:tab w:val="left" w:pos="2268" w:leader="none"/>
          <w:tab w:val="left" w:pos="3402" w:leader="none"/>
          <w:tab w:val="left" w:pos="4536" w:leader="none"/>
          <w:tab w:val="left" w:pos="5670" w:leader="none"/>
          <w:tab w:val="left" w:pos="6804" w:leader="none"/>
          <w:tab w:val="left" w:pos="7938" w:leader="none"/>
          <w:tab w:val="left" w:pos="9072" w:leader="none"/>
          <w:tab w:val="left" w:pos="10206" w:leader="none"/>
          <w:tab w:val="left" w:pos="11340" w:leader="none"/>
        </w:tabs>
        <w:ind w:left="284" w:hanging="0"/>
        <w:jc w:val="both"/>
        <w:rPr>
          <w:rFonts w:ascii="Verdana" w:hAnsi="Verdana" w:eastAsia="Verdana" w:cs="Verdana"/>
          <w:sz w:val="18"/>
          <w:szCs w:val="18"/>
        </w:rPr>
      </w:pPr>
      <w:r>
        <w:rPr>
          <w:rFonts w:eastAsia="Verdana" w:cs="Verdana" w:ascii="Verdana" w:hAnsi="Verdana"/>
          <w:sz w:val="18"/>
          <w:szCs w:val="18"/>
        </w:rPr>
      </w:r>
    </w:p>
    <w:p>
      <w:pPr>
        <w:pStyle w:val="Normal"/>
        <w:pBdr/>
        <w:tabs>
          <w:tab w:val="clear" w:pos="720"/>
          <w:tab w:val="left" w:pos="1134" w:leader="none"/>
          <w:tab w:val="left" w:pos="2268" w:leader="none"/>
          <w:tab w:val="left" w:pos="3402" w:leader="none"/>
          <w:tab w:val="left" w:pos="4536" w:leader="none"/>
          <w:tab w:val="left" w:pos="5670" w:leader="none"/>
          <w:tab w:val="left" w:pos="6804" w:leader="none"/>
          <w:tab w:val="left" w:pos="7938" w:leader="none"/>
          <w:tab w:val="left" w:pos="9072" w:leader="none"/>
          <w:tab w:val="left" w:pos="10206" w:leader="none"/>
          <w:tab w:val="left" w:pos="11340" w:leader="none"/>
        </w:tabs>
        <w:ind w:left="284" w:hanging="0"/>
        <w:jc w:val="both"/>
        <w:rPr>
          <w:rFonts w:ascii="Verdana" w:hAnsi="Verdana" w:eastAsia="Verdana" w:cs="Verdana"/>
          <w:sz w:val="18"/>
          <w:szCs w:val="18"/>
        </w:rPr>
      </w:pPr>
      <w:r>
        <w:rPr>
          <w:rFonts w:eastAsia="Verdana" w:cs="Verdana" w:ascii="Verdana" w:hAnsi="Verdana"/>
          <w:b/>
          <w:sz w:val="18"/>
          <w:szCs w:val="18"/>
        </w:rPr>
        <w:t>6.3.4 -</w:t>
      </w:r>
      <w:r>
        <w:rPr>
          <w:rFonts w:eastAsia="Verdana" w:cs="Verdana" w:ascii="Verdana" w:hAnsi="Verdana"/>
          <w:sz w:val="18"/>
          <w:szCs w:val="18"/>
        </w:rPr>
        <w:t xml:space="preserve"> Constatada a existência de sanção, o licitante será reputado inabilitado, por falta de condição de participação.</w:t>
      </w:r>
    </w:p>
    <w:p>
      <w:pPr>
        <w:pStyle w:val="Normal"/>
        <w:pBdr/>
        <w:tabs>
          <w:tab w:val="clear" w:pos="720"/>
          <w:tab w:val="left" w:pos="1134" w:leader="none"/>
          <w:tab w:val="left" w:pos="2268" w:leader="none"/>
          <w:tab w:val="left" w:pos="3402" w:leader="none"/>
          <w:tab w:val="left" w:pos="4536" w:leader="none"/>
          <w:tab w:val="left" w:pos="5670" w:leader="none"/>
          <w:tab w:val="left" w:pos="6804" w:leader="none"/>
          <w:tab w:val="left" w:pos="7938" w:leader="none"/>
          <w:tab w:val="left" w:pos="9072" w:leader="none"/>
          <w:tab w:val="left" w:pos="10206" w:leader="none"/>
          <w:tab w:val="left" w:pos="11340" w:leader="none"/>
        </w:tabs>
        <w:jc w:val="both"/>
        <w:rPr>
          <w:rFonts w:ascii="Verdana" w:hAnsi="Verdana" w:eastAsia="Verdana" w:cs="Verdana"/>
          <w:sz w:val="18"/>
          <w:szCs w:val="18"/>
        </w:rPr>
      </w:pPr>
      <w:r>
        <w:rPr>
          <w:rFonts w:eastAsia="Verdana" w:cs="Verdana" w:ascii="Verdana" w:hAnsi="Verdana"/>
          <w:sz w:val="18"/>
          <w:szCs w:val="18"/>
        </w:rPr>
      </w:r>
    </w:p>
    <w:p>
      <w:pPr>
        <w:pStyle w:val="Normal"/>
        <w:pBdr/>
        <w:tabs>
          <w:tab w:val="clear" w:pos="720"/>
          <w:tab w:val="left" w:pos="1134" w:leader="none"/>
          <w:tab w:val="left" w:pos="2268" w:leader="none"/>
          <w:tab w:val="left" w:pos="3402" w:leader="none"/>
          <w:tab w:val="left" w:pos="4536" w:leader="none"/>
          <w:tab w:val="left" w:pos="5670" w:leader="none"/>
          <w:tab w:val="left" w:pos="6804" w:leader="none"/>
          <w:tab w:val="left" w:pos="7938" w:leader="none"/>
          <w:tab w:val="left" w:pos="9072" w:leader="none"/>
          <w:tab w:val="left" w:pos="10206" w:leader="none"/>
          <w:tab w:val="left" w:pos="11340" w:leader="none"/>
        </w:tabs>
        <w:jc w:val="both"/>
        <w:rPr>
          <w:rFonts w:ascii="Verdana" w:hAnsi="Verdana" w:eastAsia="Verdana" w:cs="Verdana"/>
          <w:sz w:val="18"/>
          <w:szCs w:val="18"/>
        </w:rPr>
      </w:pPr>
      <w:r>
        <w:rPr>
          <w:rFonts w:eastAsia="Verdana" w:cs="Verdana" w:ascii="Verdana" w:hAnsi="Verdana"/>
          <w:b/>
          <w:sz w:val="18"/>
          <w:szCs w:val="18"/>
        </w:rPr>
        <w:t>6.4 -</w:t>
      </w:r>
      <w:r>
        <w:rPr>
          <w:rFonts w:eastAsia="Verdana" w:cs="Verdana" w:ascii="Verdana" w:hAnsi="Verdana"/>
          <w:sz w:val="18"/>
          <w:szCs w:val="18"/>
        </w:rPr>
        <w:t xml:space="preserve"> Caso o licitante provisoriamente classificado em primeiro lugar tenha se utilizado de algum tratamento favorecido às ME/EPPs, o pregoeiro verificará se faz jus ao benefício, em conformidade com os itens</w:t>
      </w:r>
      <w:r>
        <w:rPr>
          <w:rFonts w:eastAsia="Verdana" w:cs="Verdana" w:ascii="Verdana" w:hAnsi="Verdana"/>
          <w:b/>
          <w:sz w:val="18"/>
          <w:szCs w:val="18"/>
        </w:rPr>
        <w:t xml:space="preserve"> 2.5.1</w:t>
      </w:r>
      <w:r>
        <w:rPr>
          <w:rFonts w:eastAsia="Verdana" w:cs="Verdana" w:ascii="Verdana" w:hAnsi="Verdana"/>
          <w:sz w:val="18"/>
          <w:szCs w:val="18"/>
        </w:rPr>
        <w:t xml:space="preserve"> e </w:t>
      </w:r>
      <w:r>
        <w:rPr>
          <w:rFonts w:eastAsia="Verdana" w:cs="Verdana" w:ascii="Verdana" w:hAnsi="Verdana"/>
          <w:b/>
          <w:sz w:val="18"/>
          <w:szCs w:val="18"/>
        </w:rPr>
        <w:t xml:space="preserve">3.4 </w:t>
      </w:r>
      <w:r>
        <w:rPr>
          <w:rFonts w:eastAsia="Verdana" w:cs="Verdana" w:ascii="Verdana" w:hAnsi="Verdana"/>
          <w:sz w:val="18"/>
          <w:szCs w:val="18"/>
        </w:rPr>
        <w:t>deste Edital.</w:t>
      </w:r>
    </w:p>
    <w:p>
      <w:pPr>
        <w:pStyle w:val="Normal"/>
        <w:pBdr/>
        <w:tabs>
          <w:tab w:val="clear" w:pos="720"/>
          <w:tab w:val="left" w:pos="1134" w:leader="none"/>
          <w:tab w:val="left" w:pos="2268" w:leader="none"/>
          <w:tab w:val="left" w:pos="3402" w:leader="none"/>
          <w:tab w:val="left" w:pos="4536" w:leader="none"/>
          <w:tab w:val="left" w:pos="5670" w:leader="none"/>
          <w:tab w:val="left" w:pos="6804" w:leader="none"/>
          <w:tab w:val="left" w:pos="7938" w:leader="none"/>
          <w:tab w:val="left" w:pos="9072" w:leader="none"/>
          <w:tab w:val="left" w:pos="10206" w:leader="none"/>
          <w:tab w:val="left" w:pos="11340" w:leader="none"/>
        </w:tabs>
        <w:jc w:val="both"/>
        <w:rPr>
          <w:rFonts w:ascii="Verdana" w:hAnsi="Verdana" w:eastAsia="Verdana" w:cs="Verdana"/>
          <w:sz w:val="18"/>
          <w:szCs w:val="18"/>
        </w:rPr>
      </w:pPr>
      <w:r>
        <w:rPr>
          <w:rFonts w:eastAsia="Verdana" w:cs="Verdana" w:ascii="Verdana" w:hAnsi="Verdana"/>
          <w:sz w:val="18"/>
          <w:szCs w:val="18"/>
        </w:rPr>
      </w:r>
    </w:p>
    <w:p>
      <w:pPr>
        <w:pStyle w:val="Normal"/>
        <w:pBdr/>
        <w:tabs>
          <w:tab w:val="clear" w:pos="720"/>
          <w:tab w:val="left" w:pos="1134" w:leader="none"/>
          <w:tab w:val="left" w:pos="2268" w:leader="none"/>
          <w:tab w:val="left" w:pos="3402" w:leader="none"/>
          <w:tab w:val="left" w:pos="4536" w:leader="none"/>
          <w:tab w:val="left" w:pos="5670" w:leader="none"/>
          <w:tab w:val="left" w:pos="6804" w:leader="none"/>
          <w:tab w:val="left" w:pos="7938" w:leader="none"/>
          <w:tab w:val="left" w:pos="9072" w:leader="none"/>
          <w:tab w:val="left" w:pos="10206" w:leader="none"/>
          <w:tab w:val="left" w:pos="11340" w:leader="none"/>
        </w:tabs>
        <w:jc w:val="both"/>
        <w:rPr>
          <w:rFonts w:ascii="Verdana" w:hAnsi="Verdana" w:eastAsia="Verdana" w:cs="Verdana"/>
          <w:sz w:val="18"/>
          <w:szCs w:val="18"/>
        </w:rPr>
      </w:pPr>
      <w:r>
        <w:rPr>
          <w:rFonts w:eastAsia="Verdana" w:cs="Verdana" w:ascii="Verdana" w:hAnsi="Verdana"/>
          <w:b/>
          <w:sz w:val="18"/>
          <w:szCs w:val="18"/>
        </w:rPr>
        <w:t>6.5 -</w:t>
      </w:r>
      <w:r>
        <w:rPr>
          <w:rFonts w:eastAsia="Verdana" w:cs="Verdana" w:ascii="Verdana" w:hAnsi="Verdana"/>
          <w:sz w:val="18"/>
          <w:szCs w:val="18"/>
        </w:rPr>
        <w:t xml:space="preserve"> Verificadas as condições de participação e de utilização do tratamento favorecido, o pregoeiro, com auxílio do setor técnico demandante, examinará a proposta classificada em primeiro lugar quanto à adequação ao objeto e à compatibilidade do preço em relação ao máximo estipulado para contratação neste Edital e em seus anexos, observado o disposto no artigo 29 a 35 da IN SEGES nº 73, de 30 de setembro de 2022.</w:t>
      </w:r>
    </w:p>
    <w:p>
      <w:pPr>
        <w:pStyle w:val="Normal"/>
        <w:pBdr/>
        <w:tabs>
          <w:tab w:val="clear" w:pos="720"/>
          <w:tab w:val="left" w:pos="1134" w:leader="none"/>
          <w:tab w:val="left" w:pos="2268" w:leader="none"/>
          <w:tab w:val="left" w:pos="3402" w:leader="none"/>
          <w:tab w:val="left" w:pos="4536" w:leader="none"/>
          <w:tab w:val="left" w:pos="5670" w:leader="none"/>
          <w:tab w:val="left" w:pos="6804" w:leader="none"/>
          <w:tab w:val="left" w:pos="7938" w:leader="none"/>
          <w:tab w:val="left" w:pos="9072" w:leader="none"/>
          <w:tab w:val="left" w:pos="10206" w:leader="none"/>
          <w:tab w:val="left" w:pos="11340" w:leader="none"/>
        </w:tabs>
        <w:jc w:val="both"/>
        <w:rPr>
          <w:rFonts w:ascii="Verdana" w:hAnsi="Verdana" w:eastAsia="Verdana" w:cs="Verdana"/>
          <w:sz w:val="18"/>
          <w:szCs w:val="18"/>
        </w:rPr>
      </w:pPr>
      <w:r>
        <w:rPr>
          <w:rFonts w:eastAsia="Verdana" w:cs="Verdana" w:ascii="Verdana" w:hAnsi="Verdana"/>
          <w:sz w:val="18"/>
          <w:szCs w:val="18"/>
        </w:rPr>
      </w:r>
    </w:p>
    <w:p>
      <w:pPr>
        <w:pStyle w:val="Normal"/>
        <w:pBdr/>
        <w:tabs>
          <w:tab w:val="clear" w:pos="720"/>
          <w:tab w:val="left" w:pos="1134" w:leader="none"/>
          <w:tab w:val="left" w:pos="2268" w:leader="none"/>
          <w:tab w:val="left" w:pos="3402" w:leader="none"/>
          <w:tab w:val="left" w:pos="4536" w:leader="none"/>
          <w:tab w:val="left" w:pos="5670" w:leader="none"/>
          <w:tab w:val="left" w:pos="6804" w:leader="none"/>
          <w:tab w:val="left" w:pos="7938" w:leader="none"/>
          <w:tab w:val="left" w:pos="9072" w:leader="none"/>
          <w:tab w:val="left" w:pos="10206" w:leader="none"/>
          <w:tab w:val="left" w:pos="11340" w:leader="none"/>
        </w:tabs>
        <w:jc w:val="both"/>
        <w:rPr>
          <w:rFonts w:ascii="Verdana" w:hAnsi="Verdana" w:eastAsia="Verdana" w:cs="Verdana"/>
          <w:sz w:val="18"/>
          <w:szCs w:val="18"/>
        </w:rPr>
      </w:pPr>
      <w:r>
        <w:rPr>
          <w:rFonts w:eastAsia="Verdana" w:cs="Verdana" w:ascii="Verdana" w:hAnsi="Verdana"/>
          <w:b/>
          <w:sz w:val="18"/>
          <w:szCs w:val="18"/>
        </w:rPr>
        <w:t>6.6 -</w:t>
      </w:r>
      <w:r>
        <w:rPr>
          <w:rFonts w:eastAsia="Verdana" w:cs="Verdana" w:ascii="Verdana" w:hAnsi="Verdana"/>
          <w:sz w:val="18"/>
          <w:szCs w:val="18"/>
        </w:rPr>
        <w:t xml:space="preserve"> Será desclassificada a proposta vencedora que: </w:t>
      </w:r>
    </w:p>
    <w:p>
      <w:pPr>
        <w:pStyle w:val="Normal"/>
        <w:pBdr/>
        <w:tabs>
          <w:tab w:val="clear" w:pos="720"/>
          <w:tab w:val="left" w:pos="1134" w:leader="none"/>
          <w:tab w:val="left" w:pos="2268" w:leader="none"/>
          <w:tab w:val="left" w:pos="3402" w:leader="none"/>
          <w:tab w:val="left" w:pos="4536" w:leader="none"/>
          <w:tab w:val="left" w:pos="5670" w:leader="none"/>
          <w:tab w:val="left" w:pos="6804" w:leader="none"/>
          <w:tab w:val="left" w:pos="7938" w:leader="none"/>
          <w:tab w:val="left" w:pos="9072" w:leader="none"/>
          <w:tab w:val="left" w:pos="10206" w:leader="none"/>
          <w:tab w:val="left" w:pos="11340" w:leader="none"/>
        </w:tabs>
        <w:jc w:val="both"/>
        <w:rPr>
          <w:rFonts w:ascii="Verdana" w:hAnsi="Verdana" w:eastAsia="Verdana" w:cs="Verdana"/>
          <w:sz w:val="18"/>
          <w:szCs w:val="18"/>
        </w:rPr>
      </w:pPr>
      <w:r>
        <w:rPr>
          <w:rFonts w:eastAsia="Verdana" w:cs="Verdana" w:ascii="Verdana" w:hAnsi="Verdana"/>
          <w:sz w:val="18"/>
          <w:szCs w:val="18"/>
        </w:rPr>
      </w:r>
    </w:p>
    <w:p>
      <w:pPr>
        <w:pStyle w:val="Normal"/>
        <w:pBdr/>
        <w:tabs>
          <w:tab w:val="clear" w:pos="720"/>
          <w:tab w:val="left" w:pos="1134" w:leader="none"/>
          <w:tab w:val="left" w:pos="2268" w:leader="none"/>
          <w:tab w:val="left" w:pos="3402" w:leader="none"/>
          <w:tab w:val="left" w:pos="4536" w:leader="none"/>
          <w:tab w:val="left" w:pos="5670" w:leader="none"/>
          <w:tab w:val="left" w:pos="6804" w:leader="none"/>
          <w:tab w:val="left" w:pos="7938" w:leader="none"/>
          <w:tab w:val="left" w:pos="9072" w:leader="none"/>
          <w:tab w:val="left" w:pos="10206" w:leader="none"/>
          <w:tab w:val="left" w:pos="11340" w:leader="none"/>
        </w:tabs>
        <w:ind w:left="284" w:hanging="0"/>
        <w:jc w:val="both"/>
        <w:rPr>
          <w:rFonts w:ascii="Verdana" w:hAnsi="Verdana" w:eastAsia="Verdana" w:cs="Verdana"/>
          <w:sz w:val="18"/>
          <w:szCs w:val="18"/>
        </w:rPr>
      </w:pPr>
      <w:r>
        <w:rPr>
          <w:rFonts w:eastAsia="Verdana" w:cs="Verdana" w:ascii="Verdana" w:hAnsi="Verdana"/>
          <w:b/>
          <w:sz w:val="18"/>
          <w:szCs w:val="18"/>
        </w:rPr>
        <w:t>6.6.1 -</w:t>
      </w:r>
      <w:r>
        <w:rPr>
          <w:rFonts w:eastAsia="Verdana" w:cs="Verdana" w:ascii="Verdana" w:hAnsi="Verdana"/>
          <w:sz w:val="18"/>
          <w:szCs w:val="18"/>
        </w:rPr>
        <w:t xml:space="preserve"> contiver vícios insanáveis;</w:t>
      </w:r>
    </w:p>
    <w:p>
      <w:pPr>
        <w:pStyle w:val="Normal"/>
        <w:pBdr/>
        <w:tabs>
          <w:tab w:val="clear" w:pos="720"/>
          <w:tab w:val="left" w:pos="1134" w:leader="none"/>
          <w:tab w:val="left" w:pos="2268" w:leader="none"/>
          <w:tab w:val="left" w:pos="3402" w:leader="none"/>
          <w:tab w:val="left" w:pos="4536" w:leader="none"/>
          <w:tab w:val="left" w:pos="5670" w:leader="none"/>
          <w:tab w:val="left" w:pos="6804" w:leader="none"/>
          <w:tab w:val="left" w:pos="7938" w:leader="none"/>
          <w:tab w:val="left" w:pos="9072" w:leader="none"/>
          <w:tab w:val="left" w:pos="10206" w:leader="none"/>
          <w:tab w:val="left" w:pos="11340" w:leader="none"/>
        </w:tabs>
        <w:ind w:left="284" w:hanging="0"/>
        <w:jc w:val="both"/>
        <w:rPr>
          <w:rFonts w:ascii="Verdana" w:hAnsi="Verdana" w:eastAsia="Verdana" w:cs="Verdana"/>
          <w:sz w:val="18"/>
          <w:szCs w:val="18"/>
        </w:rPr>
      </w:pPr>
      <w:r>
        <w:rPr>
          <w:rFonts w:eastAsia="Verdana" w:cs="Verdana" w:ascii="Verdana" w:hAnsi="Verdana"/>
          <w:sz w:val="18"/>
          <w:szCs w:val="18"/>
        </w:rPr>
      </w:r>
    </w:p>
    <w:p>
      <w:pPr>
        <w:pStyle w:val="Normal"/>
        <w:pBdr/>
        <w:tabs>
          <w:tab w:val="clear" w:pos="720"/>
          <w:tab w:val="left" w:pos="1134" w:leader="none"/>
          <w:tab w:val="left" w:pos="2268" w:leader="none"/>
          <w:tab w:val="left" w:pos="3402" w:leader="none"/>
          <w:tab w:val="left" w:pos="4536" w:leader="none"/>
          <w:tab w:val="left" w:pos="5670" w:leader="none"/>
          <w:tab w:val="left" w:pos="6804" w:leader="none"/>
          <w:tab w:val="left" w:pos="7938" w:leader="none"/>
          <w:tab w:val="left" w:pos="9072" w:leader="none"/>
          <w:tab w:val="left" w:pos="10206" w:leader="none"/>
          <w:tab w:val="left" w:pos="11340" w:leader="none"/>
        </w:tabs>
        <w:ind w:left="284" w:hanging="0"/>
        <w:jc w:val="both"/>
        <w:rPr>
          <w:rFonts w:ascii="Verdana" w:hAnsi="Verdana" w:eastAsia="Verdana" w:cs="Verdana"/>
          <w:sz w:val="18"/>
          <w:szCs w:val="18"/>
        </w:rPr>
      </w:pPr>
      <w:r>
        <w:rPr>
          <w:rFonts w:eastAsia="Verdana" w:cs="Verdana" w:ascii="Verdana" w:hAnsi="Verdana"/>
          <w:b/>
          <w:sz w:val="18"/>
          <w:szCs w:val="18"/>
        </w:rPr>
        <w:t>6.6.2 -</w:t>
      </w:r>
      <w:r>
        <w:rPr>
          <w:rFonts w:eastAsia="Verdana" w:cs="Verdana" w:ascii="Verdana" w:hAnsi="Verdana"/>
          <w:sz w:val="18"/>
          <w:szCs w:val="18"/>
        </w:rPr>
        <w:t xml:space="preserve"> não obedecer às especificações técnicas contidas no Termo de Referência - Anexo I deste Edital;</w:t>
      </w:r>
    </w:p>
    <w:p>
      <w:pPr>
        <w:pStyle w:val="Normal"/>
        <w:pBdr/>
        <w:tabs>
          <w:tab w:val="clear" w:pos="720"/>
          <w:tab w:val="left" w:pos="1134" w:leader="none"/>
          <w:tab w:val="left" w:pos="2268" w:leader="none"/>
          <w:tab w:val="left" w:pos="3402" w:leader="none"/>
          <w:tab w:val="left" w:pos="4536" w:leader="none"/>
          <w:tab w:val="left" w:pos="5670" w:leader="none"/>
          <w:tab w:val="left" w:pos="6804" w:leader="none"/>
          <w:tab w:val="left" w:pos="7938" w:leader="none"/>
          <w:tab w:val="left" w:pos="9072" w:leader="none"/>
          <w:tab w:val="left" w:pos="10206" w:leader="none"/>
          <w:tab w:val="left" w:pos="11340" w:leader="none"/>
        </w:tabs>
        <w:ind w:left="284" w:hanging="0"/>
        <w:jc w:val="both"/>
        <w:rPr>
          <w:rFonts w:ascii="Verdana" w:hAnsi="Verdana" w:eastAsia="Verdana" w:cs="Verdana"/>
          <w:sz w:val="18"/>
          <w:szCs w:val="18"/>
        </w:rPr>
      </w:pPr>
      <w:r>
        <w:rPr>
          <w:rFonts w:eastAsia="Verdana" w:cs="Verdana" w:ascii="Verdana" w:hAnsi="Verdana"/>
          <w:sz w:val="18"/>
          <w:szCs w:val="18"/>
        </w:rPr>
      </w:r>
    </w:p>
    <w:p>
      <w:pPr>
        <w:pStyle w:val="Normal"/>
        <w:pBdr/>
        <w:tabs>
          <w:tab w:val="clear" w:pos="720"/>
          <w:tab w:val="left" w:pos="1134" w:leader="none"/>
          <w:tab w:val="left" w:pos="2268" w:leader="none"/>
          <w:tab w:val="left" w:pos="3402" w:leader="none"/>
          <w:tab w:val="left" w:pos="4536" w:leader="none"/>
          <w:tab w:val="left" w:pos="5670" w:leader="none"/>
          <w:tab w:val="left" w:pos="6804" w:leader="none"/>
          <w:tab w:val="left" w:pos="7938" w:leader="none"/>
          <w:tab w:val="left" w:pos="9072" w:leader="none"/>
          <w:tab w:val="left" w:pos="10206" w:leader="none"/>
          <w:tab w:val="left" w:pos="11340" w:leader="none"/>
        </w:tabs>
        <w:ind w:left="284" w:hanging="0"/>
        <w:jc w:val="both"/>
        <w:rPr>
          <w:rFonts w:ascii="Verdana" w:hAnsi="Verdana" w:eastAsia="Verdana" w:cs="Verdana"/>
          <w:sz w:val="18"/>
          <w:szCs w:val="18"/>
        </w:rPr>
      </w:pPr>
      <w:r>
        <w:rPr>
          <w:rFonts w:eastAsia="Verdana" w:cs="Verdana" w:ascii="Verdana" w:hAnsi="Verdana"/>
          <w:b/>
          <w:sz w:val="18"/>
          <w:szCs w:val="18"/>
        </w:rPr>
        <w:t>6.6.3 -</w:t>
      </w:r>
      <w:r>
        <w:rPr>
          <w:rFonts w:eastAsia="Verdana" w:cs="Verdana" w:ascii="Verdana" w:hAnsi="Verdana"/>
          <w:sz w:val="18"/>
          <w:szCs w:val="18"/>
        </w:rPr>
        <w:t xml:space="preserve"> apresentar preços inexequíveis ou permanecerem acima do preço máximo definido para a contratação;</w:t>
      </w:r>
    </w:p>
    <w:p>
      <w:pPr>
        <w:pStyle w:val="Normal"/>
        <w:pBdr/>
        <w:tabs>
          <w:tab w:val="clear" w:pos="720"/>
          <w:tab w:val="left" w:pos="1134" w:leader="none"/>
          <w:tab w:val="left" w:pos="2268" w:leader="none"/>
          <w:tab w:val="left" w:pos="3402" w:leader="none"/>
          <w:tab w:val="left" w:pos="4536" w:leader="none"/>
          <w:tab w:val="left" w:pos="5670" w:leader="none"/>
          <w:tab w:val="left" w:pos="6804" w:leader="none"/>
          <w:tab w:val="left" w:pos="7938" w:leader="none"/>
          <w:tab w:val="left" w:pos="9072" w:leader="none"/>
          <w:tab w:val="left" w:pos="10206" w:leader="none"/>
          <w:tab w:val="left" w:pos="11340" w:leader="none"/>
        </w:tabs>
        <w:ind w:left="284" w:hanging="0"/>
        <w:jc w:val="both"/>
        <w:rPr>
          <w:rFonts w:ascii="Verdana" w:hAnsi="Verdana" w:eastAsia="Verdana" w:cs="Verdana"/>
          <w:sz w:val="18"/>
          <w:szCs w:val="18"/>
        </w:rPr>
      </w:pPr>
      <w:r>
        <w:rPr>
          <w:rFonts w:eastAsia="Verdana" w:cs="Verdana" w:ascii="Verdana" w:hAnsi="Verdana"/>
          <w:sz w:val="18"/>
          <w:szCs w:val="18"/>
        </w:rPr>
      </w:r>
    </w:p>
    <w:p>
      <w:pPr>
        <w:pStyle w:val="Normal"/>
        <w:pBdr/>
        <w:tabs>
          <w:tab w:val="clear" w:pos="720"/>
          <w:tab w:val="left" w:pos="1134" w:leader="none"/>
          <w:tab w:val="left" w:pos="2268" w:leader="none"/>
          <w:tab w:val="left" w:pos="3402" w:leader="none"/>
          <w:tab w:val="left" w:pos="4536" w:leader="none"/>
          <w:tab w:val="left" w:pos="5670" w:leader="none"/>
          <w:tab w:val="left" w:pos="6804" w:leader="none"/>
          <w:tab w:val="left" w:pos="7938" w:leader="none"/>
          <w:tab w:val="left" w:pos="9072" w:leader="none"/>
          <w:tab w:val="left" w:pos="10206" w:leader="none"/>
          <w:tab w:val="left" w:pos="11340" w:leader="none"/>
        </w:tabs>
        <w:ind w:left="284" w:hanging="0"/>
        <w:jc w:val="both"/>
        <w:rPr>
          <w:rFonts w:ascii="Verdana" w:hAnsi="Verdana" w:eastAsia="Verdana" w:cs="Verdana"/>
          <w:sz w:val="18"/>
          <w:szCs w:val="18"/>
        </w:rPr>
      </w:pPr>
      <w:r>
        <w:rPr>
          <w:rFonts w:eastAsia="Verdana" w:cs="Verdana" w:ascii="Verdana" w:hAnsi="Verdana"/>
          <w:b/>
          <w:sz w:val="18"/>
          <w:szCs w:val="18"/>
        </w:rPr>
        <w:t>6.6.4 -</w:t>
      </w:r>
      <w:r>
        <w:rPr>
          <w:rFonts w:eastAsia="Verdana" w:cs="Verdana" w:ascii="Verdana" w:hAnsi="Verdana"/>
          <w:sz w:val="18"/>
          <w:szCs w:val="18"/>
        </w:rPr>
        <w:t xml:space="preserve"> não tiverem sua exequibilidade demonstrada, quando exigido pela Administração;</w:t>
      </w:r>
    </w:p>
    <w:p>
      <w:pPr>
        <w:pStyle w:val="Normal"/>
        <w:pBdr/>
        <w:tabs>
          <w:tab w:val="clear" w:pos="720"/>
          <w:tab w:val="left" w:pos="1134" w:leader="none"/>
          <w:tab w:val="left" w:pos="2268" w:leader="none"/>
          <w:tab w:val="left" w:pos="3402" w:leader="none"/>
          <w:tab w:val="left" w:pos="4536" w:leader="none"/>
          <w:tab w:val="left" w:pos="5670" w:leader="none"/>
          <w:tab w:val="left" w:pos="6804" w:leader="none"/>
          <w:tab w:val="left" w:pos="7938" w:leader="none"/>
          <w:tab w:val="left" w:pos="9072" w:leader="none"/>
          <w:tab w:val="left" w:pos="10206" w:leader="none"/>
          <w:tab w:val="left" w:pos="11340" w:leader="none"/>
        </w:tabs>
        <w:ind w:left="284" w:hanging="0"/>
        <w:jc w:val="both"/>
        <w:rPr>
          <w:rFonts w:ascii="Verdana" w:hAnsi="Verdana" w:eastAsia="Verdana" w:cs="Verdana"/>
          <w:sz w:val="18"/>
          <w:szCs w:val="18"/>
        </w:rPr>
      </w:pPr>
      <w:r>
        <w:rPr>
          <w:rFonts w:eastAsia="Verdana" w:cs="Verdana" w:ascii="Verdana" w:hAnsi="Verdana"/>
          <w:sz w:val="18"/>
          <w:szCs w:val="18"/>
        </w:rPr>
      </w:r>
    </w:p>
    <w:p>
      <w:pPr>
        <w:pStyle w:val="Normal"/>
        <w:pBdr/>
        <w:tabs>
          <w:tab w:val="clear" w:pos="720"/>
          <w:tab w:val="left" w:pos="1134" w:leader="none"/>
          <w:tab w:val="left" w:pos="2268" w:leader="none"/>
          <w:tab w:val="left" w:pos="3402" w:leader="none"/>
          <w:tab w:val="left" w:pos="4536" w:leader="none"/>
          <w:tab w:val="left" w:pos="5670" w:leader="none"/>
          <w:tab w:val="left" w:pos="6804" w:leader="none"/>
          <w:tab w:val="left" w:pos="7938" w:leader="none"/>
          <w:tab w:val="left" w:pos="9072" w:leader="none"/>
          <w:tab w:val="left" w:pos="10206" w:leader="none"/>
          <w:tab w:val="left" w:pos="11340" w:leader="none"/>
        </w:tabs>
        <w:ind w:left="284" w:hanging="0"/>
        <w:jc w:val="both"/>
        <w:rPr>
          <w:rFonts w:ascii="Verdana" w:hAnsi="Verdana" w:eastAsia="Verdana" w:cs="Verdana"/>
          <w:sz w:val="18"/>
          <w:szCs w:val="18"/>
        </w:rPr>
      </w:pPr>
      <w:r>
        <w:rPr>
          <w:rFonts w:eastAsia="Verdana" w:cs="Verdana" w:ascii="Verdana" w:hAnsi="Verdana"/>
          <w:b/>
          <w:sz w:val="18"/>
          <w:szCs w:val="18"/>
        </w:rPr>
        <w:t>6.6.5 -</w:t>
      </w:r>
      <w:r>
        <w:rPr>
          <w:rFonts w:eastAsia="Verdana" w:cs="Verdana" w:ascii="Verdana" w:hAnsi="Verdana"/>
          <w:sz w:val="18"/>
          <w:szCs w:val="18"/>
        </w:rPr>
        <w:t xml:space="preserve"> apresentar desconformidade com quaisquer outras exigências deste Edital ou seus anexos, desde que insanável.</w:t>
      </w:r>
    </w:p>
    <w:p>
      <w:pPr>
        <w:pStyle w:val="Normal"/>
        <w:pBdr/>
        <w:tabs>
          <w:tab w:val="clear" w:pos="720"/>
          <w:tab w:val="left" w:pos="1134" w:leader="none"/>
          <w:tab w:val="left" w:pos="2268" w:leader="none"/>
          <w:tab w:val="left" w:pos="3402" w:leader="none"/>
          <w:tab w:val="left" w:pos="4536" w:leader="none"/>
          <w:tab w:val="left" w:pos="5670" w:leader="none"/>
          <w:tab w:val="left" w:pos="6804" w:leader="none"/>
          <w:tab w:val="left" w:pos="7938" w:leader="none"/>
          <w:tab w:val="left" w:pos="9072" w:leader="none"/>
          <w:tab w:val="left" w:pos="10206" w:leader="none"/>
          <w:tab w:val="left" w:pos="11340" w:leader="none"/>
        </w:tabs>
        <w:jc w:val="both"/>
        <w:rPr>
          <w:rFonts w:ascii="Verdana" w:hAnsi="Verdana" w:eastAsia="Verdana" w:cs="Verdana"/>
          <w:sz w:val="18"/>
          <w:szCs w:val="18"/>
        </w:rPr>
      </w:pPr>
      <w:r>
        <w:rPr>
          <w:rFonts w:eastAsia="Verdana" w:cs="Verdana" w:ascii="Verdana" w:hAnsi="Verdana"/>
          <w:sz w:val="18"/>
          <w:szCs w:val="18"/>
        </w:rPr>
      </w:r>
    </w:p>
    <w:p>
      <w:pPr>
        <w:pStyle w:val="Normal"/>
        <w:pBdr/>
        <w:tabs>
          <w:tab w:val="clear" w:pos="720"/>
          <w:tab w:val="left" w:pos="1134" w:leader="none"/>
          <w:tab w:val="left" w:pos="2268" w:leader="none"/>
          <w:tab w:val="left" w:pos="3402" w:leader="none"/>
          <w:tab w:val="left" w:pos="4536" w:leader="none"/>
          <w:tab w:val="left" w:pos="5670" w:leader="none"/>
          <w:tab w:val="left" w:pos="6804" w:leader="none"/>
          <w:tab w:val="left" w:pos="7938" w:leader="none"/>
          <w:tab w:val="left" w:pos="9072" w:leader="none"/>
          <w:tab w:val="left" w:pos="10206" w:leader="none"/>
          <w:tab w:val="left" w:pos="11340" w:leader="none"/>
        </w:tabs>
        <w:jc w:val="both"/>
        <w:rPr>
          <w:rFonts w:ascii="Verdana" w:hAnsi="Verdana" w:eastAsia="Verdana" w:cs="Verdana"/>
          <w:sz w:val="18"/>
          <w:szCs w:val="18"/>
        </w:rPr>
      </w:pPr>
      <w:r>
        <w:rPr>
          <w:rFonts w:eastAsia="Verdana" w:cs="Verdana" w:ascii="Verdana" w:hAnsi="Verdana"/>
          <w:b/>
          <w:sz w:val="18"/>
          <w:szCs w:val="18"/>
        </w:rPr>
        <w:t>6.7 -</w:t>
      </w:r>
      <w:r>
        <w:rPr>
          <w:rFonts w:eastAsia="Verdana" w:cs="Verdana" w:ascii="Verdana" w:hAnsi="Verdana"/>
          <w:sz w:val="18"/>
          <w:szCs w:val="18"/>
        </w:rPr>
        <w:t xml:space="preserve"> Se houver indícios de inexequibilidade da proposta de preço, ou em caso da necessidade de esclarecimentos complementares, poderão ser efetuadas diligências, para que a empresa comprove a exequibilidade da proposta.</w:t>
      </w:r>
    </w:p>
    <w:p>
      <w:pPr>
        <w:pStyle w:val="Normal"/>
        <w:pBdr/>
        <w:tabs>
          <w:tab w:val="clear" w:pos="720"/>
          <w:tab w:val="left" w:pos="1134" w:leader="none"/>
          <w:tab w:val="left" w:pos="2268" w:leader="none"/>
          <w:tab w:val="left" w:pos="3402" w:leader="none"/>
          <w:tab w:val="left" w:pos="4536" w:leader="none"/>
          <w:tab w:val="left" w:pos="5670" w:leader="none"/>
          <w:tab w:val="left" w:pos="6804" w:leader="none"/>
          <w:tab w:val="left" w:pos="7938" w:leader="none"/>
          <w:tab w:val="left" w:pos="9072" w:leader="none"/>
          <w:tab w:val="left" w:pos="10206" w:leader="none"/>
          <w:tab w:val="left" w:pos="11340" w:leader="none"/>
        </w:tabs>
        <w:jc w:val="both"/>
        <w:rPr>
          <w:rFonts w:ascii="Verdana" w:hAnsi="Verdana" w:eastAsia="Verdana" w:cs="Verdana"/>
          <w:sz w:val="18"/>
          <w:szCs w:val="18"/>
        </w:rPr>
      </w:pPr>
      <w:r>
        <w:rPr>
          <w:rFonts w:eastAsia="Verdana" w:cs="Verdana" w:ascii="Verdana" w:hAnsi="Verdana"/>
          <w:sz w:val="18"/>
          <w:szCs w:val="18"/>
        </w:rPr>
      </w:r>
    </w:p>
    <w:p>
      <w:pPr>
        <w:pStyle w:val="Normal"/>
        <w:pBdr/>
        <w:tabs>
          <w:tab w:val="clear" w:pos="720"/>
          <w:tab w:val="left" w:pos="1134" w:leader="none"/>
          <w:tab w:val="left" w:pos="2268" w:leader="none"/>
          <w:tab w:val="left" w:pos="3402" w:leader="none"/>
          <w:tab w:val="left" w:pos="4536" w:leader="none"/>
          <w:tab w:val="left" w:pos="5670" w:leader="none"/>
          <w:tab w:val="left" w:pos="6804" w:leader="none"/>
          <w:tab w:val="left" w:pos="7938" w:leader="none"/>
          <w:tab w:val="left" w:pos="9072" w:leader="none"/>
          <w:tab w:val="left" w:pos="10206" w:leader="none"/>
          <w:tab w:val="left" w:pos="11340" w:leader="none"/>
        </w:tabs>
        <w:jc w:val="both"/>
        <w:rPr>
          <w:rFonts w:ascii="Verdana" w:hAnsi="Verdana" w:eastAsia="Verdana" w:cs="Verdana"/>
          <w:sz w:val="18"/>
          <w:szCs w:val="18"/>
        </w:rPr>
      </w:pPr>
      <w:r>
        <w:rPr>
          <w:rFonts w:eastAsia="Verdana" w:cs="Verdana" w:ascii="Verdana" w:hAnsi="Verdana"/>
          <w:b/>
          <w:sz w:val="18"/>
          <w:szCs w:val="18"/>
        </w:rPr>
        <w:t>6.8 -</w:t>
      </w:r>
      <w:r>
        <w:rPr>
          <w:rFonts w:eastAsia="Verdana" w:cs="Verdana" w:ascii="Verdana" w:hAnsi="Verdana"/>
          <w:sz w:val="18"/>
          <w:szCs w:val="18"/>
        </w:rPr>
        <w:t xml:space="preserve"> 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pPr>
        <w:pStyle w:val="Normal"/>
        <w:pBdr/>
        <w:tabs>
          <w:tab w:val="clear" w:pos="720"/>
          <w:tab w:val="left" w:pos="1134" w:leader="none"/>
          <w:tab w:val="left" w:pos="2268" w:leader="none"/>
          <w:tab w:val="left" w:pos="3402" w:leader="none"/>
          <w:tab w:val="left" w:pos="4536" w:leader="none"/>
          <w:tab w:val="left" w:pos="5670" w:leader="none"/>
          <w:tab w:val="left" w:pos="6804" w:leader="none"/>
          <w:tab w:val="left" w:pos="7938" w:leader="none"/>
          <w:tab w:val="left" w:pos="9072" w:leader="none"/>
          <w:tab w:val="left" w:pos="10206" w:leader="none"/>
          <w:tab w:val="left" w:pos="11340" w:leader="none"/>
        </w:tabs>
        <w:jc w:val="both"/>
        <w:rPr>
          <w:rFonts w:ascii="Verdana" w:hAnsi="Verdana" w:eastAsia="Verdana" w:cs="Verdana"/>
          <w:sz w:val="18"/>
          <w:szCs w:val="18"/>
        </w:rPr>
      </w:pPr>
      <w:r>
        <w:rPr>
          <w:rFonts w:eastAsia="Verdana" w:cs="Verdana" w:ascii="Verdana" w:hAnsi="Verdana"/>
          <w:sz w:val="18"/>
          <w:szCs w:val="18"/>
        </w:rPr>
      </w:r>
    </w:p>
    <w:p>
      <w:pPr>
        <w:pStyle w:val="Normal"/>
        <w:pBdr/>
        <w:tabs>
          <w:tab w:val="clear" w:pos="720"/>
          <w:tab w:val="left" w:pos="1134" w:leader="none"/>
          <w:tab w:val="left" w:pos="2268" w:leader="none"/>
          <w:tab w:val="left" w:pos="3402" w:leader="none"/>
          <w:tab w:val="left" w:pos="4536" w:leader="none"/>
          <w:tab w:val="left" w:pos="5670" w:leader="none"/>
          <w:tab w:val="left" w:pos="6804" w:leader="none"/>
          <w:tab w:val="left" w:pos="7938" w:leader="none"/>
          <w:tab w:val="left" w:pos="9072" w:leader="none"/>
          <w:tab w:val="left" w:pos="10206" w:leader="none"/>
          <w:tab w:val="left" w:pos="11340" w:leader="none"/>
        </w:tabs>
        <w:jc w:val="both"/>
        <w:rPr>
          <w:rFonts w:ascii="Verdana" w:hAnsi="Verdana" w:eastAsia="Verdana" w:cs="Verdana"/>
          <w:sz w:val="18"/>
          <w:szCs w:val="18"/>
        </w:rPr>
      </w:pPr>
      <w:r>
        <w:rPr>
          <w:rFonts w:eastAsia="Verdana" w:cs="Verdana" w:ascii="Verdana" w:hAnsi="Verdana"/>
          <w:b/>
          <w:sz w:val="18"/>
          <w:szCs w:val="18"/>
        </w:rPr>
        <w:t xml:space="preserve">6.9 - </w:t>
      </w:r>
      <w:r>
        <w:rPr>
          <w:rFonts w:eastAsia="Verdana" w:cs="Verdana" w:ascii="Verdana" w:hAnsi="Verdana"/>
          <w:sz w:val="18"/>
          <w:szCs w:val="18"/>
        </w:rPr>
        <w:t>Erros no preenchimento da planilha não constituem motivo para a desclassificação da proposta. A planilha poderá ser ajustada pelo fornecedor, no prazo indicado pelo sistema, desde que não haja majoração do preço.</w:t>
      </w:r>
    </w:p>
    <w:p>
      <w:pPr>
        <w:pStyle w:val="Normal"/>
        <w:pBdr/>
        <w:tabs>
          <w:tab w:val="clear" w:pos="720"/>
          <w:tab w:val="left" w:pos="1134" w:leader="none"/>
          <w:tab w:val="left" w:pos="2268" w:leader="none"/>
          <w:tab w:val="left" w:pos="3402" w:leader="none"/>
          <w:tab w:val="left" w:pos="4536" w:leader="none"/>
          <w:tab w:val="left" w:pos="5670" w:leader="none"/>
          <w:tab w:val="left" w:pos="6804" w:leader="none"/>
          <w:tab w:val="left" w:pos="7938" w:leader="none"/>
          <w:tab w:val="left" w:pos="9072" w:leader="none"/>
          <w:tab w:val="left" w:pos="10206" w:leader="none"/>
          <w:tab w:val="left" w:pos="11340" w:leader="none"/>
        </w:tabs>
        <w:jc w:val="both"/>
        <w:rPr>
          <w:rFonts w:ascii="Verdana" w:hAnsi="Verdana" w:eastAsia="Verdana" w:cs="Verdana"/>
          <w:sz w:val="18"/>
          <w:szCs w:val="18"/>
        </w:rPr>
      </w:pPr>
      <w:r>
        <w:rPr>
          <w:rFonts w:eastAsia="Verdana" w:cs="Verdana" w:ascii="Verdana" w:hAnsi="Verdana"/>
          <w:sz w:val="18"/>
          <w:szCs w:val="18"/>
        </w:rPr>
      </w:r>
    </w:p>
    <w:p>
      <w:pPr>
        <w:pStyle w:val="Normal"/>
        <w:pBdr/>
        <w:tabs>
          <w:tab w:val="clear" w:pos="720"/>
          <w:tab w:val="left" w:pos="1134" w:leader="none"/>
          <w:tab w:val="left" w:pos="2268" w:leader="none"/>
          <w:tab w:val="left" w:pos="3402" w:leader="none"/>
          <w:tab w:val="left" w:pos="4536" w:leader="none"/>
          <w:tab w:val="left" w:pos="5670" w:leader="none"/>
          <w:tab w:val="left" w:pos="6804" w:leader="none"/>
          <w:tab w:val="left" w:pos="7938" w:leader="none"/>
          <w:tab w:val="left" w:pos="9072" w:leader="none"/>
          <w:tab w:val="left" w:pos="10206" w:leader="none"/>
          <w:tab w:val="left" w:pos="11340" w:leader="none"/>
        </w:tabs>
        <w:ind w:left="284" w:hanging="0"/>
        <w:jc w:val="both"/>
        <w:rPr>
          <w:rFonts w:ascii="Verdana" w:hAnsi="Verdana" w:eastAsia="Verdana" w:cs="Verdana"/>
          <w:sz w:val="18"/>
          <w:szCs w:val="18"/>
        </w:rPr>
      </w:pPr>
      <w:r>
        <w:rPr>
          <w:rFonts w:eastAsia="Verdana" w:cs="Verdana" w:ascii="Verdana" w:hAnsi="Verdana"/>
          <w:b/>
          <w:sz w:val="18"/>
          <w:szCs w:val="18"/>
        </w:rPr>
        <w:t>6.9.1 -</w:t>
      </w:r>
      <w:r>
        <w:rPr>
          <w:rFonts w:eastAsia="Verdana" w:cs="Verdana" w:ascii="Verdana" w:hAnsi="Verdana"/>
          <w:sz w:val="18"/>
          <w:szCs w:val="18"/>
        </w:rPr>
        <w:t xml:space="preserve"> O ajuste de que trata este dispositivo se limita a sanar erros ou falhas que não alterem a substância das propostas;</w:t>
      </w:r>
    </w:p>
    <w:p>
      <w:pPr>
        <w:pStyle w:val="Normal"/>
        <w:pBdr/>
        <w:tabs>
          <w:tab w:val="clear" w:pos="720"/>
          <w:tab w:val="left" w:pos="1134" w:leader="none"/>
          <w:tab w:val="left" w:pos="2268" w:leader="none"/>
          <w:tab w:val="left" w:pos="3402" w:leader="none"/>
          <w:tab w:val="left" w:pos="4536" w:leader="none"/>
          <w:tab w:val="left" w:pos="5670" w:leader="none"/>
          <w:tab w:val="left" w:pos="6804" w:leader="none"/>
          <w:tab w:val="left" w:pos="7938" w:leader="none"/>
          <w:tab w:val="left" w:pos="9072" w:leader="none"/>
          <w:tab w:val="left" w:pos="10206" w:leader="none"/>
          <w:tab w:val="left" w:pos="11340" w:leader="none"/>
        </w:tabs>
        <w:ind w:left="284" w:hanging="0"/>
        <w:jc w:val="both"/>
        <w:rPr>
          <w:rFonts w:ascii="Verdana" w:hAnsi="Verdana" w:eastAsia="Verdana" w:cs="Verdana"/>
          <w:sz w:val="18"/>
          <w:szCs w:val="18"/>
        </w:rPr>
      </w:pPr>
      <w:r>
        <w:rPr>
          <w:rFonts w:eastAsia="Verdana" w:cs="Verdana" w:ascii="Verdana" w:hAnsi="Verdana"/>
          <w:sz w:val="18"/>
          <w:szCs w:val="18"/>
        </w:rPr>
      </w:r>
    </w:p>
    <w:p>
      <w:pPr>
        <w:pStyle w:val="Normal"/>
        <w:pBdr/>
        <w:tabs>
          <w:tab w:val="clear" w:pos="720"/>
          <w:tab w:val="left" w:pos="1134" w:leader="none"/>
          <w:tab w:val="left" w:pos="2268" w:leader="none"/>
          <w:tab w:val="left" w:pos="3402" w:leader="none"/>
          <w:tab w:val="left" w:pos="4536" w:leader="none"/>
          <w:tab w:val="left" w:pos="5670" w:leader="none"/>
          <w:tab w:val="left" w:pos="6804" w:leader="none"/>
          <w:tab w:val="left" w:pos="7938" w:leader="none"/>
          <w:tab w:val="left" w:pos="9072" w:leader="none"/>
          <w:tab w:val="left" w:pos="10206" w:leader="none"/>
          <w:tab w:val="left" w:pos="11340" w:leader="none"/>
        </w:tabs>
        <w:ind w:left="284" w:hanging="0"/>
        <w:jc w:val="both"/>
        <w:rPr>
          <w:rFonts w:ascii="Verdana" w:hAnsi="Verdana" w:eastAsia="Verdana" w:cs="Verdana"/>
          <w:sz w:val="18"/>
          <w:szCs w:val="18"/>
        </w:rPr>
      </w:pPr>
      <w:r>
        <w:rPr>
          <w:rFonts w:eastAsia="Verdana" w:cs="Verdana" w:ascii="Verdana" w:hAnsi="Verdana"/>
          <w:b/>
          <w:sz w:val="18"/>
          <w:szCs w:val="18"/>
        </w:rPr>
        <w:t>6.9.2 -</w:t>
      </w:r>
      <w:r>
        <w:rPr>
          <w:rFonts w:eastAsia="Verdana" w:cs="Verdana" w:ascii="Verdana" w:hAnsi="Verdana"/>
          <w:sz w:val="18"/>
          <w:szCs w:val="18"/>
        </w:rPr>
        <w:t xml:space="preserve"> Considera-se erro no preenchimento da planilha passível de correção a indicação de recolhimento de impostos e contribuições na forma do Simples Nacional, quando não cabível esse regime.</w:t>
      </w:r>
    </w:p>
    <w:p>
      <w:pPr>
        <w:pStyle w:val="Normal"/>
        <w:pBdr/>
        <w:tabs>
          <w:tab w:val="clear" w:pos="720"/>
          <w:tab w:val="left" w:pos="1134" w:leader="none"/>
          <w:tab w:val="left" w:pos="2268" w:leader="none"/>
          <w:tab w:val="left" w:pos="3402" w:leader="none"/>
          <w:tab w:val="left" w:pos="4536" w:leader="none"/>
          <w:tab w:val="left" w:pos="5670" w:leader="none"/>
          <w:tab w:val="left" w:pos="6804" w:leader="none"/>
          <w:tab w:val="left" w:pos="7938" w:leader="none"/>
          <w:tab w:val="left" w:pos="9072" w:leader="none"/>
          <w:tab w:val="left" w:pos="10206" w:leader="none"/>
          <w:tab w:val="left" w:pos="11340" w:leader="none"/>
        </w:tabs>
        <w:jc w:val="both"/>
        <w:rPr>
          <w:rFonts w:ascii="Verdana" w:hAnsi="Verdana" w:eastAsia="Verdana" w:cs="Verdana"/>
          <w:sz w:val="18"/>
          <w:szCs w:val="18"/>
        </w:rPr>
      </w:pPr>
      <w:r>
        <w:rPr>
          <w:rFonts w:eastAsia="Verdana" w:cs="Verdana" w:ascii="Verdana" w:hAnsi="Verdana"/>
          <w:sz w:val="18"/>
          <w:szCs w:val="18"/>
        </w:rPr>
      </w:r>
    </w:p>
    <w:p>
      <w:pPr>
        <w:pStyle w:val="Normal"/>
        <w:pBdr/>
        <w:tabs>
          <w:tab w:val="clear" w:pos="720"/>
          <w:tab w:val="left" w:pos="1134" w:leader="none"/>
          <w:tab w:val="left" w:pos="2268" w:leader="none"/>
          <w:tab w:val="left" w:pos="3402" w:leader="none"/>
          <w:tab w:val="left" w:pos="4536" w:leader="none"/>
          <w:tab w:val="left" w:pos="5670" w:leader="none"/>
          <w:tab w:val="left" w:pos="6804" w:leader="none"/>
          <w:tab w:val="left" w:pos="7938" w:leader="none"/>
          <w:tab w:val="left" w:pos="9072" w:leader="none"/>
          <w:tab w:val="left" w:pos="10206" w:leader="none"/>
          <w:tab w:val="left" w:pos="11340" w:leader="none"/>
        </w:tabs>
        <w:jc w:val="both"/>
        <w:rPr>
          <w:rFonts w:ascii="Verdana" w:hAnsi="Verdana" w:eastAsia="Verdana" w:cs="Verdana"/>
          <w:sz w:val="18"/>
          <w:szCs w:val="18"/>
        </w:rPr>
      </w:pPr>
      <w:r>
        <w:rPr>
          <w:rFonts w:eastAsia="Verdana" w:cs="Verdana" w:ascii="Verdana" w:hAnsi="Verdana"/>
          <w:b/>
          <w:sz w:val="18"/>
          <w:szCs w:val="18"/>
        </w:rPr>
        <w:t>6.10 -</w:t>
      </w:r>
      <w:r>
        <w:rPr>
          <w:rFonts w:eastAsia="Verdana" w:cs="Verdana" w:ascii="Verdana" w:hAnsi="Verdana"/>
          <w:sz w:val="18"/>
          <w:szCs w:val="18"/>
        </w:rPr>
        <w:t xml:space="preserve"> Após análise, o pregoeiro decidirá sobre a aceitação da proposta, divulgando, em seguida, o resultado de sua análise.</w:t>
      </w:r>
    </w:p>
    <w:p>
      <w:pPr>
        <w:pStyle w:val="Normal"/>
        <w:pBdr/>
        <w:tabs>
          <w:tab w:val="clear" w:pos="720"/>
          <w:tab w:val="left" w:pos="1134" w:leader="none"/>
          <w:tab w:val="left" w:pos="2268" w:leader="none"/>
          <w:tab w:val="left" w:pos="3402" w:leader="none"/>
          <w:tab w:val="left" w:pos="4536" w:leader="none"/>
          <w:tab w:val="left" w:pos="5670" w:leader="none"/>
          <w:tab w:val="left" w:pos="6804" w:leader="none"/>
          <w:tab w:val="left" w:pos="7938" w:leader="none"/>
          <w:tab w:val="left" w:pos="9072" w:leader="none"/>
          <w:tab w:val="left" w:pos="10206" w:leader="none"/>
          <w:tab w:val="left" w:pos="11340" w:leader="none"/>
        </w:tabs>
        <w:jc w:val="both"/>
        <w:rPr>
          <w:rFonts w:ascii="Verdana" w:hAnsi="Verdana" w:eastAsia="Verdana" w:cs="Verdana"/>
          <w:sz w:val="18"/>
          <w:szCs w:val="18"/>
        </w:rPr>
      </w:pPr>
      <w:r>
        <w:rPr>
          <w:rFonts w:eastAsia="Verdana" w:cs="Verdana" w:ascii="Verdana" w:hAnsi="Verdana"/>
          <w:sz w:val="18"/>
          <w:szCs w:val="18"/>
        </w:rPr>
      </w:r>
    </w:p>
    <w:p>
      <w:pPr>
        <w:pStyle w:val="Normal"/>
        <w:pBdr/>
        <w:tabs>
          <w:tab w:val="clear" w:pos="720"/>
          <w:tab w:val="left" w:pos="1134" w:leader="none"/>
          <w:tab w:val="left" w:pos="2268" w:leader="none"/>
          <w:tab w:val="left" w:pos="3402" w:leader="none"/>
          <w:tab w:val="left" w:pos="4536" w:leader="none"/>
          <w:tab w:val="left" w:pos="5670" w:leader="none"/>
          <w:tab w:val="left" w:pos="6804" w:leader="none"/>
          <w:tab w:val="left" w:pos="7938" w:leader="none"/>
          <w:tab w:val="left" w:pos="9072" w:leader="none"/>
          <w:tab w:val="left" w:pos="10206" w:leader="none"/>
          <w:tab w:val="left" w:pos="11340" w:leader="none"/>
        </w:tabs>
        <w:jc w:val="both"/>
        <w:rPr>
          <w:rFonts w:ascii="Verdana" w:hAnsi="Verdana" w:eastAsia="Verdana" w:cs="Verdana"/>
          <w:sz w:val="18"/>
          <w:szCs w:val="18"/>
        </w:rPr>
      </w:pPr>
      <w:r>
        <w:rPr>
          <w:rFonts w:eastAsia="Verdana" w:cs="Verdana" w:ascii="Verdana" w:hAnsi="Verdana"/>
          <w:b/>
          <w:sz w:val="18"/>
          <w:szCs w:val="18"/>
        </w:rPr>
        <w:t>6.11 -</w:t>
      </w:r>
      <w:r>
        <w:rPr>
          <w:rFonts w:eastAsia="Verdana" w:cs="Verdana" w:ascii="Verdana" w:hAnsi="Verdana"/>
          <w:sz w:val="18"/>
          <w:szCs w:val="18"/>
        </w:rPr>
        <w:t xml:space="preserve"> Cientificada a LICITANTE, em caso de reprovação, será examinada a oferta subsequente e mais vantajosa à Administração, e assim sucessivamente, segundo sua aceitabilidade e classificação, convocando em seguida a próxima LICITANTE, sendo a ela concedida às mesmas condições e prazos destinados à primeira.</w:t>
      </w:r>
    </w:p>
    <w:p>
      <w:pPr>
        <w:pStyle w:val="Normal"/>
        <w:pBdr/>
        <w:tabs>
          <w:tab w:val="clear" w:pos="720"/>
          <w:tab w:val="left" w:pos="1134" w:leader="none"/>
          <w:tab w:val="left" w:pos="2268" w:leader="none"/>
          <w:tab w:val="left" w:pos="3402" w:leader="none"/>
          <w:tab w:val="left" w:pos="4536" w:leader="none"/>
          <w:tab w:val="left" w:pos="5670" w:leader="none"/>
          <w:tab w:val="left" w:pos="6804" w:leader="none"/>
          <w:tab w:val="left" w:pos="7938" w:leader="none"/>
          <w:tab w:val="left" w:pos="9072" w:leader="none"/>
          <w:tab w:val="left" w:pos="10206" w:leader="none"/>
          <w:tab w:val="left" w:pos="11340" w:leader="none"/>
        </w:tabs>
        <w:jc w:val="both"/>
        <w:rPr>
          <w:rFonts w:ascii="Verdana" w:hAnsi="Verdana" w:eastAsia="Verdana" w:cs="Verdana"/>
          <w:sz w:val="18"/>
          <w:szCs w:val="18"/>
        </w:rPr>
      </w:pPr>
      <w:r>
        <w:rPr>
          <w:rFonts w:eastAsia="Verdana" w:cs="Verdana" w:ascii="Verdana" w:hAnsi="Verdana"/>
          <w:sz w:val="18"/>
          <w:szCs w:val="18"/>
        </w:rPr>
      </w:r>
    </w:p>
    <w:p>
      <w:pPr>
        <w:pStyle w:val="Normal"/>
        <w:ind w:left="284" w:hanging="0"/>
        <w:jc w:val="both"/>
        <w:rPr>
          <w:rFonts w:ascii="Verdana" w:hAnsi="Verdana" w:eastAsia="Verdana" w:cs="Verdana"/>
          <w:sz w:val="18"/>
          <w:szCs w:val="18"/>
        </w:rPr>
      </w:pPr>
      <w:r>
        <w:rPr>
          <w:rFonts w:eastAsia="Verdana" w:cs="Verdana" w:ascii="Verdana" w:hAnsi="Verdana"/>
          <w:b/>
          <w:sz w:val="18"/>
          <w:szCs w:val="18"/>
        </w:rPr>
        <w:t>6.11.1</w:t>
      </w:r>
      <w:r>
        <w:rPr>
          <w:rFonts w:eastAsia="Verdana" w:cs="Verdana" w:ascii="Verdana" w:hAnsi="Verdana"/>
          <w:sz w:val="18"/>
          <w:szCs w:val="18"/>
        </w:rPr>
        <w:t xml:space="preserve"> - Ocorrendo a situação a que se refere este item, o pregoeiro poderá negociar com o licitante para que seja obtido preço melhor.</w:t>
      </w:r>
    </w:p>
    <w:p>
      <w:pPr>
        <w:pStyle w:val="Normal"/>
        <w:jc w:val="both"/>
        <w:rPr>
          <w:rFonts w:ascii="Verdana" w:hAnsi="Verdana" w:eastAsia="Verdana" w:cs="Verdana"/>
          <w:sz w:val="18"/>
          <w:szCs w:val="18"/>
        </w:rPr>
      </w:pPr>
      <w:r>
        <w:rPr>
          <w:rFonts w:eastAsia="Verdana" w:cs="Verdana" w:ascii="Verdana" w:hAnsi="Verdana"/>
          <w:sz w:val="18"/>
          <w:szCs w:val="18"/>
        </w:rPr>
      </w:r>
    </w:p>
    <w:p>
      <w:pPr>
        <w:pStyle w:val="Normal"/>
        <w:pBdr/>
        <w:shd w:val="clear" w:color="auto" w:fill="C0C0C0"/>
        <w:tabs>
          <w:tab w:val="clear" w:pos="720"/>
          <w:tab w:val="left" w:pos="1134" w:leader="none"/>
          <w:tab w:val="left" w:pos="2268" w:leader="none"/>
          <w:tab w:val="left" w:pos="3402" w:leader="none"/>
          <w:tab w:val="left" w:pos="4536" w:leader="none"/>
          <w:tab w:val="left" w:pos="5670" w:leader="none"/>
          <w:tab w:val="left" w:pos="6804" w:leader="none"/>
          <w:tab w:val="left" w:pos="7938" w:leader="none"/>
          <w:tab w:val="left" w:pos="9072" w:leader="none"/>
          <w:tab w:val="left" w:pos="10206" w:leader="none"/>
          <w:tab w:val="left" w:pos="11340" w:leader="none"/>
        </w:tabs>
        <w:jc w:val="both"/>
        <w:rPr>
          <w:rFonts w:ascii="Verdana" w:hAnsi="Verdana" w:eastAsia="Verdana" w:cs="Verdana"/>
          <w:b/>
          <w:b/>
          <w:sz w:val="18"/>
          <w:szCs w:val="18"/>
        </w:rPr>
      </w:pPr>
      <w:r>
        <w:rPr>
          <w:rFonts w:eastAsia="Verdana" w:cs="Verdana" w:ascii="Verdana" w:hAnsi="Verdana"/>
          <w:b/>
          <w:sz w:val="18"/>
          <w:szCs w:val="18"/>
        </w:rPr>
        <w:t>7 - DA FASE DE HABILITAÇÃO</w:t>
      </w:r>
    </w:p>
    <w:p>
      <w:pPr>
        <w:pStyle w:val="Normal"/>
        <w:jc w:val="both"/>
        <w:rPr>
          <w:rFonts w:ascii="Verdana" w:hAnsi="Verdana" w:eastAsia="Verdana" w:cs="Verdana"/>
          <w:b/>
          <w:b/>
          <w:sz w:val="18"/>
          <w:szCs w:val="18"/>
        </w:rPr>
      </w:pPr>
      <w:r>
        <w:rPr>
          <w:rFonts w:eastAsia="Verdana" w:cs="Verdana" w:ascii="Verdana" w:hAnsi="Verdana"/>
          <w:b/>
          <w:sz w:val="18"/>
          <w:szCs w:val="18"/>
        </w:rPr>
      </w:r>
    </w:p>
    <w:p>
      <w:pPr>
        <w:pStyle w:val="Normal"/>
        <w:pBdr/>
        <w:jc w:val="both"/>
        <w:rPr>
          <w:rFonts w:ascii="Verdana" w:hAnsi="Verdana" w:eastAsia="Verdana" w:cs="Verdana"/>
          <w:sz w:val="18"/>
          <w:szCs w:val="18"/>
        </w:rPr>
      </w:pPr>
      <w:r>
        <w:rPr>
          <w:rFonts w:eastAsia="Verdana" w:cs="Verdana" w:ascii="Verdana" w:hAnsi="Verdana"/>
          <w:b/>
          <w:sz w:val="18"/>
          <w:szCs w:val="18"/>
        </w:rPr>
        <w:t xml:space="preserve">7.1 - </w:t>
      </w:r>
      <w:r>
        <w:rPr>
          <w:rFonts w:eastAsia="Verdana" w:cs="Verdana" w:ascii="Verdana" w:hAnsi="Verdana"/>
          <w:sz w:val="18"/>
          <w:szCs w:val="18"/>
        </w:rPr>
        <w:t xml:space="preserve">Os documentos previstos na </w:t>
      </w:r>
      <w:r>
        <w:rPr>
          <w:rFonts w:eastAsia="Verdana" w:cs="Verdana" w:ascii="Verdana" w:hAnsi="Verdana"/>
          <w:b/>
          <w:sz w:val="18"/>
          <w:szCs w:val="18"/>
        </w:rPr>
        <w:t>CAPA DO EDITAL</w:t>
      </w:r>
      <w:r>
        <w:rPr>
          <w:rFonts w:eastAsia="Verdana" w:cs="Verdana" w:ascii="Verdana" w:hAnsi="Verdana"/>
          <w:sz w:val="18"/>
          <w:szCs w:val="18"/>
        </w:rPr>
        <w:t>, necessários e suficientes para demonstrar a capacidade do licitante de realizar o objeto da licitação, serão exigidos para fins de habilitação, nos termos dos arts. 62 a 70 da Lei nº 14.133, de 2021.</w:t>
      </w:r>
    </w:p>
    <w:p>
      <w:pPr>
        <w:pStyle w:val="Normal"/>
        <w:pBdr/>
        <w:jc w:val="both"/>
        <w:rPr>
          <w:rFonts w:ascii="Verdana" w:hAnsi="Verdana" w:eastAsia="Verdana" w:cs="Verdana"/>
          <w:sz w:val="18"/>
          <w:szCs w:val="18"/>
        </w:rPr>
      </w:pPr>
      <w:r>
        <w:rPr>
          <w:rFonts w:eastAsia="Verdana" w:cs="Verdana" w:ascii="Verdana" w:hAnsi="Verdana"/>
          <w:sz w:val="18"/>
          <w:szCs w:val="18"/>
        </w:rPr>
      </w:r>
    </w:p>
    <w:p>
      <w:pPr>
        <w:pStyle w:val="Normal"/>
        <w:pBdr/>
        <w:ind w:left="284" w:hanging="0"/>
        <w:jc w:val="both"/>
        <w:rPr>
          <w:rFonts w:ascii="Verdana" w:hAnsi="Verdana" w:eastAsia="Verdana" w:cs="Verdana"/>
          <w:sz w:val="18"/>
          <w:szCs w:val="18"/>
        </w:rPr>
      </w:pPr>
      <w:r>
        <w:rPr>
          <w:rFonts w:eastAsia="Verdana" w:cs="Verdana" w:ascii="Verdana" w:hAnsi="Verdana"/>
          <w:b/>
          <w:sz w:val="18"/>
          <w:szCs w:val="18"/>
        </w:rPr>
        <w:t>7.1.1 -</w:t>
      </w:r>
      <w:r>
        <w:rPr>
          <w:rFonts w:eastAsia="Arial Unicode MS" w:cs="Arial Unicode MS" w:ascii="Arial Unicode MS" w:hAnsi="Arial Unicode MS"/>
          <w:sz w:val="18"/>
          <w:szCs w:val="18"/>
        </w:rPr>
        <w:t xml:space="preserve"> </w:t>
      </w:r>
      <w:r>
        <w:rPr>
          <w:rFonts w:eastAsia="Arial Unicode MS" w:cs="Arial Unicode MS" w:ascii="Verdana" w:hAnsi="Verdana"/>
          <w:sz w:val="18"/>
          <w:szCs w:val="18"/>
        </w:rPr>
        <w:t>A documentação exigida para fins de habilitação jurídica, fiscal, social e trabalhista e econômico-ﬁnanceira, poderá ser substituída pelo registro cadastral no SICAF.</w:t>
      </w:r>
    </w:p>
    <w:p>
      <w:pPr>
        <w:pStyle w:val="Normal"/>
        <w:pBdr/>
        <w:ind w:left="284" w:hanging="0"/>
        <w:jc w:val="both"/>
        <w:rPr>
          <w:rFonts w:ascii="Verdana" w:hAnsi="Verdana" w:eastAsia="Verdana" w:cs="Verdana"/>
          <w:sz w:val="18"/>
          <w:szCs w:val="18"/>
        </w:rPr>
      </w:pPr>
      <w:r>
        <w:rPr>
          <w:rFonts w:eastAsia="Verdana" w:cs="Verdana" w:ascii="Verdana" w:hAnsi="Verdana"/>
          <w:sz w:val="18"/>
          <w:szCs w:val="18"/>
        </w:rPr>
      </w:r>
    </w:p>
    <w:p>
      <w:pPr>
        <w:pStyle w:val="Normal"/>
        <w:ind w:left="284" w:hanging="0"/>
        <w:jc w:val="both"/>
        <w:rPr>
          <w:rFonts w:ascii="Verdana" w:hAnsi="Verdana" w:eastAsia="Verdana" w:cs="Verdana"/>
          <w:b/>
          <w:b/>
          <w:sz w:val="18"/>
          <w:szCs w:val="18"/>
        </w:rPr>
      </w:pPr>
      <w:r>
        <w:rPr>
          <w:rFonts w:eastAsia="Verdana" w:cs="Verdana" w:ascii="Verdana" w:hAnsi="Verdana"/>
          <w:b/>
          <w:sz w:val="18"/>
          <w:szCs w:val="18"/>
        </w:rPr>
        <w:t>7.1.2 -</w:t>
      </w:r>
      <w:r>
        <w:rPr>
          <w:rFonts w:eastAsia="Verdana" w:cs="Verdana" w:ascii="Verdana" w:hAnsi="Verdana"/>
          <w:sz w:val="18"/>
          <w:szCs w:val="18"/>
        </w:rPr>
        <w:t xml:space="preserve"> Os documentos apresentados para habilitação </w:t>
      </w:r>
      <w:r>
        <w:rPr>
          <w:rFonts w:eastAsia="Verdana" w:cs="Verdana" w:ascii="Verdana" w:hAnsi="Verdana"/>
          <w:b/>
          <w:sz w:val="18"/>
          <w:szCs w:val="18"/>
        </w:rPr>
        <w:t xml:space="preserve">deverão estar </w:t>
      </w:r>
      <w:r>
        <w:rPr>
          <w:rFonts w:eastAsia="Verdana" w:cs="Verdana" w:ascii="Verdana" w:hAnsi="Verdana"/>
          <w:sz w:val="18"/>
          <w:szCs w:val="18"/>
        </w:rPr>
        <w:t xml:space="preserve">em nome da empresa licitante e com indicação do número do </w:t>
      </w:r>
      <w:r>
        <w:rPr>
          <w:rFonts w:eastAsia="Verdana" w:cs="Verdana" w:ascii="Verdana" w:hAnsi="Verdana"/>
          <w:b/>
          <w:sz w:val="18"/>
          <w:szCs w:val="18"/>
        </w:rPr>
        <w:t xml:space="preserve">CNPJ </w:t>
      </w:r>
      <w:r>
        <w:rPr>
          <w:rFonts w:eastAsia="Verdana" w:cs="Verdana" w:ascii="Verdana" w:hAnsi="Verdana"/>
          <w:sz w:val="18"/>
          <w:szCs w:val="18"/>
        </w:rPr>
        <w:t xml:space="preserve">e </w:t>
      </w:r>
      <w:r>
        <w:rPr>
          <w:rFonts w:eastAsia="Verdana" w:cs="Verdana" w:ascii="Verdana" w:hAnsi="Verdana"/>
          <w:b/>
          <w:sz w:val="18"/>
          <w:szCs w:val="18"/>
        </w:rPr>
        <w:t>endereço</w:t>
      </w:r>
      <w:r>
        <w:rPr>
          <w:rFonts w:eastAsia="Verdana" w:cs="Verdana" w:ascii="Verdana" w:hAnsi="Verdana"/>
          <w:sz w:val="18"/>
          <w:szCs w:val="18"/>
        </w:rPr>
        <w:t>.</w:t>
      </w:r>
    </w:p>
    <w:p>
      <w:pPr>
        <w:pStyle w:val="Normal"/>
        <w:ind w:left="567" w:hanging="0"/>
        <w:jc w:val="both"/>
        <w:rPr>
          <w:rFonts w:ascii="Verdana" w:hAnsi="Verdana" w:eastAsia="Verdana" w:cs="Verdana"/>
          <w:sz w:val="18"/>
          <w:szCs w:val="18"/>
        </w:rPr>
      </w:pPr>
      <w:r>
        <w:rPr>
          <w:rFonts w:eastAsia="Verdana" w:cs="Verdana" w:ascii="Verdana" w:hAnsi="Verdana"/>
          <w:b/>
          <w:sz w:val="18"/>
          <w:szCs w:val="18"/>
        </w:rPr>
        <w:t>a) Se o licitante for participar por meio da matriz</w:t>
      </w:r>
      <w:r>
        <w:rPr>
          <w:rFonts w:eastAsia="Verdana" w:cs="Verdana" w:ascii="Verdana" w:hAnsi="Verdana"/>
          <w:sz w:val="18"/>
          <w:szCs w:val="18"/>
        </w:rPr>
        <w:t>, todos os documentos deverão estar em nome desta, exceto quando expressamente ampliada a validade para todos os estabelecimentos da empresa, matriz e filiais.</w:t>
      </w:r>
    </w:p>
    <w:p>
      <w:pPr>
        <w:pStyle w:val="Normal"/>
        <w:ind w:left="567" w:hanging="0"/>
        <w:jc w:val="both"/>
        <w:rPr>
          <w:rFonts w:ascii="Verdana" w:hAnsi="Verdana" w:eastAsia="Verdana" w:cs="Verdana"/>
          <w:sz w:val="18"/>
          <w:szCs w:val="18"/>
        </w:rPr>
      </w:pPr>
      <w:r>
        <w:rPr>
          <w:rFonts w:eastAsia="Verdana" w:cs="Verdana" w:ascii="Verdana" w:hAnsi="Verdana"/>
          <w:b/>
          <w:sz w:val="18"/>
          <w:szCs w:val="18"/>
        </w:rPr>
        <w:t>b)</w:t>
      </w:r>
      <w:r>
        <w:rPr>
          <w:rFonts w:eastAsia="Verdana" w:cs="Verdana" w:ascii="Verdana" w:hAnsi="Verdana"/>
          <w:sz w:val="18"/>
          <w:szCs w:val="18"/>
        </w:rPr>
        <w:t xml:space="preserve"> </w:t>
      </w:r>
      <w:r>
        <w:rPr>
          <w:rFonts w:eastAsia="Verdana" w:cs="Verdana" w:ascii="Verdana" w:hAnsi="Verdana"/>
          <w:b/>
          <w:sz w:val="18"/>
          <w:szCs w:val="18"/>
        </w:rPr>
        <w:t>Se o licitante for participar por meio da filial</w:t>
      </w:r>
      <w:r>
        <w:rPr>
          <w:rFonts w:eastAsia="Verdana" w:cs="Verdana" w:ascii="Verdana" w:hAnsi="Verdana"/>
          <w:sz w:val="18"/>
          <w:szCs w:val="18"/>
        </w:rPr>
        <w:t>, todos os documentos deverão estar em nome desta, exceto quando expressamente ampliada a validade para todos os estabelecimentos da empresa, matriz e filiais.</w:t>
      </w:r>
    </w:p>
    <w:p>
      <w:pPr>
        <w:pStyle w:val="Normal"/>
        <w:pBdr/>
        <w:ind w:left="284" w:hanging="0"/>
        <w:jc w:val="both"/>
        <w:rPr>
          <w:rFonts w:ascii="Verdana" w:hAnsi="Verdana" w:eastAsia="Verdana" w:cs="Verdana"/>
          <w:sz w:val="18"/>
          <w:szCs w:val="18"/>
        </w:rPr>
      </w:pPr>
      <w:r>
        <w:rPr>
          <w:rFonts w:eastAsia="Verdana" w:cs="Verdana" w:ascii="Verdana" w:hAnsi="Verdana"/>
          <w:sz w:val="18"/>
          <w:szCs w:val="18"/>
        </w:rPr>
      </w:r>
    </w:p>
    <w:p>
      <w:pPr>
        <w:pStyle w:val="Normal"/>
        <w:pBdr/>
        <w:jc w:val="both"/>
        <w:rPr>
          <w:rFonts w:ascii="Verdana" w:hAnsi="Verdana" w:eastAsia="Verdana" w:cs="Verdana"/>
          <w:sz w:val="18"/>
          <w:szCs w:val="18"/>
        </w:rPr>
      </w:pPr>
      <w:r>
        <w:rPr>
          <w:rFonts w:eastAsia="Verdana" w:cs="Verdana" w:ascii="Verdana" w:hAnsi="Verdana"/>
          <w:b/>
          <w:sz w:val="18"/>
          <w:szCs w:val="18"/>
        </w:rPr>
        <w:t xml:space="preserve">7.2 - </w:t>
      </w:r>
      <w:r>
        <w:rPr>
          <w:rFonts w:eastAsia="Verdana" w:cs="Verdana" w:ascii="Verdana" w:hAnsi="Verdana"/>
          <w:sz w:val="18"/>
          <w:szCs w:val="18"/>
        </w:rPr>
        <w:t>A habilitação será verificada por meio do Sicaf, nos documentos por ele abrangidos.</w:t>
      </w:r>
    </w:p>
    <w:p>
      <w:pPr>
        <w:pStyle w:val="Normal"/>
        <w:pBdr/>
        <w:jc w:val="both"/>
        <w:rPr>
          <w:rFonts w:ascii="Verdana" w:hAnsi="Verdana" w:eastAsia="Verdana" w:cs="Verdana"/>
          <w:b/>
          <w:b/>
          <w:strike/>
          <w:sz w:val="18"/>
          <w:szCs w:val="18"/>
        </w:rPr>
      </w:pPr>
      <w:r>
        <w:rPr>
          <w:rFonts w:eastAsia="Verdana" w:cs="Verdana" w:ascii="Verdana" w:hAnsi="Verdana"/>
          <w:b/>
          <w:strike/>
          <w:sz w:val="18"/>
          <w:szCs w:val="18"/>
        </w:rPr>
      </w:r>
    </w:p>
    <w:p>
      <w:pPr>
        <w:pStyle w:val="Normal"/>
        <w:pBdr/>
        <w:ind w:left="284" w:hanging="0"/>
        <w:jc w:val="both"/>
        <w:rPr>
          <w:rFonts w:ascii="Verdana" w:hAnsi="Verdana" w:eastAsia="Verdana" w:cs="Verdana"/>
          <w:sz w:val="18"/>
          <w:szCs w:val="18"/>
        </w:rPr>
      </w:pPr>
      <w:r>
        <w:rPr>
          <w:rFonts w:eastAsia="Verdana" w:cs="Verdana" w:ascii="Verdana" w:hAnsi="Verdana"/>
          <w:b/>
          <w:sz w:val="18"/>
          <w:szCs w:val="18"/>
        </w:rPr>
        <w:t xml:space="preserve">7.2.1 - </w:t>
      </w:r>
      <w:r>
        <w:rPr>
          <w:rFonts w:eastAsia="Verdana" w:cs="Verdana" w:ascii="Verdana" w:hAnsi="Verdana"/>
          <w:sz w:val="18"/>
          <w:szCs w:val="18"/>
        </w:rPr>
        <w:t>Somente haverá a necessidade de comprovação do preenchimento de requisitos mediante apresentação dos documentos originais não-digitais quando houver dúvida em relação à integridade do documento digital.</w:t>
      </w:r>
    </w:p>
    <w:p>
      <w:pPr>
        <w:pStyle w:val="Normal"/>
        <w:pBdr/>
        <w:jc w:val="both"/>
        <w:rPr>
          <w:rFonts w:ascii="Verdana" w:hAnsi="Verdana" w:eastAsia="Verdana" w:cs="Verdana"/>
          <w:sz w:val="18"/>
          <w:szCs w:val="18"/>
        </w:rPr>
      </w:pPr>
      <w:r>
        <w:rPr>
          <w:rFonts w:eastAsia="Verdana" w:cs="Verdana" w:ascii="Verdana" w:hAnsi="Verdana"/>
          <w:sz w:val="18"/>
          <w:szCs w:val="18"/>
        </w:rPr>
      </w:r>
    </w:p>
    <w:p>
      <w:pPr>
        <w:pStyle w:val="Normal"/>
        <w:pBdr/>
        <w:jc w:val="both"/>
        <w:rPr>
          <w:rFonts w:ascii="Verdana" w:hAnsi="Verdana" w:eastAsia="Verdana" w:cs="Verdana"/>
          <w:sz w:val="18"/>
          <w:szCs w:val="18"/>
        </w:rPr>
      </w:pPr>
      <w:r>
        <w:rPr>
          <w:rFonts w:eastAsia="Verdana" w:cs="Verdana" w:ascii="Verdana" w:hAnsi="Verdana"/>
          <w:b/>
          <w:sz w:val="18"/>
          <w:szCs w:val="18"/>
        </w:rPr>
        <w:t>7.3 -</w:t>
      </w:r>
      <w:r>
        <w:rPr>
          <w:rFonts w:eastAsia="Verdana" w:cs="Verdana" w:ascii="Verdana" w:hAnsi="Verdana"/>
          <w:sz w:val="18"/>
          <w:szCs w:val="18"/>
        </w:rPr>
        <w:tab/>
        <w:t>É de responsabilidade do licitante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w:t>
      </w:r>
    </w:p>
    <w:p>
      <w:pPr>
        <w:pStyle w:val="Normal"/>
        <w:pBdr/>
        <w:jc w:val="both"/>
        <w:rPr>
          <w:rFonts w:ascii="Verdana" w:hAnsi="Verdana" w:eastAsia="Verdana" w:cs="Verdana"/>
          <w:sz w:val="18"/>
          <w:szCs w:val="18"/>
        </w:rPr>
      </w:pPr>
      <w:r>
        <w:rPr>
          <w:rFonts w:eastAsia="Verdana" w:cs="Verdana" w:ascii="Verdana" w:hAnsi="Verdana"/>
          <w:sz w:val="18"/>
          <w:szCs w:val="18"/>
        </w:rPr>
      </w:r>
    </w:p>
    <w:p>
      <w:pPr>
        <w:pStyle w:val="Normal"/>
        <w:pBdr/>
        <w:ind w:left="284" w:hanging="0"/>
        <w:jc w:val="both"/>
        <w:rPr>
          <w:rFonts w:ascii="Verdana" w:hAnsi="Verdana" w:eastAsia="Verdana" w:cs="Verdana"/>
          <w:sz w:val="18"/>
          <w:szCs w:val="18"/>
        </w:rPr>
      </w:pPr>
      <w:r>
        <w:rPr>
          <w:rFonts w:eastAsia="Verdana" w:cs="Verdana" w:ascii="Verdana" w:hAnsi="Verdana"/>
          <w:b/>
          <w:sz w:val="18"/>
          <w:szCs w:val="18"/>
        </w:rPr>
        <w:t xml:space="preserve">7.3.1 - </w:t>
      </w:r>
      <w:r>
        <w:rPr>
          <w:rFonts w:eastAsia="Verdana" w:cs="Verdana" w:ascii="Verdana" w:hAnsi="Verdana"/>
          <w:sz w:val="18"/>
          <w:szCs w:val="18"/>
        </w:rPr>
        <w:t>A não observância do disposto no item anterior poderá ensejar desclassificação no momento da habilitação.</w:t>
      </w:r>
    </w:p>
    <w:p>
      <w:pPr>
        <w:pStyle w:val="Normal"/>
        <w:pBdr/>
        <w:jc w:val="both"/>
        <w:rPr>
          <w:rFonts w:ascii="Verdana" w:hAnsi="Verdana" w:eastAsia="Verdana" w:cs="Verdana"/>
          <w:sz w:val="18"/>
          <w:szCs w:val="18"/>
        </w:rPr>
      </w:pPr>
      <w:r>
        <w:rPr>
          <w:rFonts w:eastAsia="Verdana" w:cs="Verdana" w:ascii="Verdana" w:hAnsi="Verdana"/>
          <w:sz w:val="18"/>
          <w:szCs w:val="18"/>
        </w:rPr>
      </w:r>
    </w:p>
    <w:p>
      <w:pPr>
        <w:pStyle w:val="Normal"/>
        <w:pBdr/>
        <w:jc w:val="both"/>
        <w:rPr>
          <w:rFonts w:ascii="Verdana" w:hAnsi="Verdana" w:eastAsia="Verdana" w:cs="Verdana"/>
          <w:sz w:val="18"/>
          <w:szCs w:val="18"/>
        </w:rPr>
      </w:pPr>
      <w:r>
        <w:rPr>
          <w:rFonts w:eastAsia="Verdana" w:cs="Verdana" w:ascii="Verdana" w:hAnsi="Verdana"/>
          <w:b/>
          <w:sz w:val="18"/>
          <w:szCs w:val="18"/>
        </w:rPr>
        <w:t>7.4 -</w:t>
      </w:r>
      <w:r>
        <w:rPr>
          <w:rFonts w:eastAsia="Verdana" w:cs="Verdana" w:ascii="Verdana" w:hAnsi="Verdana"/>
          <w:sz w:val="18"/>
          <w:szCs w:val="18"/>
        </w:rPr>
        <w:t xml:space="preserve"> A verificação pelo pregoeiro, em sítios eletrônicos oficiais de órgãos e entidades emissores de certidões constitui meio legal de prova, para fins de habilitação.</w:t>
      </w:r>
    </w:p>
    <w:p>
      <w:pPr>
        <w:pStyle w:val="Normal"/>
        <w:pBdr/>
        <w:jc w:val="both"/>
        <w:rPr>
          <w:rFonts w:ascii="Verdana" w:hAnsi="Verdana" w:eastAsia="Verdana" w:cs="Verdana"/>
          <w:sz w:val="18"/>
          <w:szCs w:val="18"/>
        </w:rPr>
      </w:pPr>
      <w:r>
        <w:rPr>
          <w:rFonts w:eastAsia="Verdana" w:cs="Verdana" w:ascii="Verdana" w:hAnsi="Verdana"/>
          <w:sz w:val="18"/>
          <w:szCs w:val="18"/>
        </w:rPr>
      </w:r>
    </w:p>
    <w:p>
      <w:pPr>
        <w:pStyle w:val="Normal"/>
        <w:pBdr/>
        <w:ind w:left="284" w:hanging="0"/>
        <w:jc w:val="both"/>
        <w:rPr>
          <w:rFonts w:ascii="Verdana" w:hAnsi="Verdana" w:eastAsia="Verdana" w:cs="Verdana"/>
          <w:b/>
          <w:b/>
          <w:sz w:val="18"/>
          <w:szCs w:val="18"/>
        </w:rPr>
      </w:pPr>
      <w:r>
        <w:rPr>
          <w:rFonts w:eastAsia="Verdana" w:cs="Verdana" w:ascii="Verdana" w:hAnsi="Verdana"/>
          <w:b/>
          <w:sz w:val="18"/>
          <w:szCs w:val="18"/>
        </w:rPr>
        <w:t>7.4.1 - Os documentos exigidos para habilitação que não estejam contemplados no Sicaf serão enviados por meio do sistema, em formato digital, no prazo de 2 (duas horas), contado da solicitação do pregoeiro.</w:t>
      </w:r>
    </w:p>
    <w:p>
      <w:pPr>
        <w:pStyle w:val="Normal"/>
        <w:tabs>
          <w:tab w:val="clear" w:pos="720"/>
          <w:tab w:val="left" w:pos="1134" w:leader="none"/>
          <w:tab w:val="left" w:pos="2268" w:leader="none"/>
          <w:tab w:val="left" w:pos="3402" w:leader="none"/>
          <w:tab w:val="left" w:pos="4536" w:leader="none"/>
          <w:tab w:val="left" w:pos="5670" w:leader="none"/>
          <w:tab w:val="left" w:pos="6804" w:leader="none"/>
          <w:tab w:val="left" w:pos="7938" w:leader="none"/>
          <w:tab w:val="left" w:pos="9072" w:leader="none"/>
          <w:tab w:val="left" w:pos="10206" w:leader="none"/>
          <w:tab w:val="left" w:pos="11340" w:leader="none"/>
        </w:tabs>
        <w:ind w:left="284" w:hanging="0"/>
        <w:jc w:val="both"/>
        <w:rPr>
          <w:rFonts w:ascii="Verdana" w:hAnsi="Verdana" w:eastAsia="Verdana" w:cs="Verdana"/>
          <w:b/>
          <w:b/>
          <w:sz w:val="18"/>
          <w:szCs w:val="18"/>
        </w:rPr>
      </w:pPr>
      <w:r>
        <w:rPr>
          <w:rFonts w:eastAsia="Verdana" w:cs="Verdana" w:ascii="Verdana" w:hAnsi="Verdana"/>
          <w:b/>
          <w:sz w:val="18"/>
          <w:szCs w:val="18"/>
        </w:rPr>
      </w:r>
    </w:p>
    <w:p>
      <w:pPr>
        <w:pStyle w:val="Normal"/>
        <w:tabs>
          <w:tab w:val="clear" w:pos="720"/>
          <w:tab w:val="left" w:pos="1134" w:leader="none"/>
          <w:tab w:val="left" w:pos="2268" w:leader="none"/>
          <w:tab w:val="left" w:pos="3402" w:leader="none"/>
          <w:tab w:val="left" w:pos="4536" w:leader="none"/>
          <w:tab w:val="left" w:pos="5670" w:leader="none"/>
          <w:tab w:val="left" w:pos="6804" w:leader="none"/>
          <w:tab w:val="left" w:pos="7938" w:leader="none"/>
          <w:tab w:val="left" w:pos="9072" w:leader="none"/>
          <w:tab w:val="left" w:pos="10206" w:leader="none"/>
          <w:tab w:val="left" w:pos="11340" w:leader="none"/>
        </w:tabs>
        <w:ind w:left="567" w:hanging="0"/>
        <w:jc w:val="both"/>
        <w:rPr>
          <w:rFonts w:ascii="Verdana" w:hAnsi="Verdana" w:eastAsia="Verdana" w:cs="Verdana"/>
          <w:sz w:val="18"/>
          <w:szCs w:val="18"/>
        </w:rPr>
      </w:pPr>
      <w:r>
        <w:rPr>
          <w:rFonts w:eastAsia="Verdana" w:cs="Verdana" w:ascii="Verdana" w:hAnsi="Verdana"/>
          <w:b/>
          <w:sz w:val="18"/>
          <w:szCs w:val="18"/>
        </w:rPr>
        <w:t>7.4.1.1 -</w:t>
      </w:r>
      <w:r>
        <w:rPr>
          <w:rFonts w:eastAsia="Verdana" w:cs="Verdana" w:ascii="Verdana" w:hAnsi="Verdana"/>
          <w:sz w:val="18"/>
          <w:szCs w:val="18"/>
        </w:rPr>
        <w:t xml:space="preserve"> É facultado ao pregoeiro prorrogar o prazo estabelecido, a partir de solicitação fundamentada feita no chat pelo licitante, antes de findo o prazo.</w:t>
      </w:r>
    </w:p>
    <w:p>
      <w:pPr>
        <w:pStyle w:val="Normal"/>
        <w:pBdr/>
        <w:jc w:val="both"/>
        <w:rPr>
          <w:rFonts w:ascii="Verdana" w:hAnsi="Verdana" w:eastAsia="Verdana" w:cs="Verdana"/>
          <w:sz w:val="18"/>
          <w:szCs w:val="18"/>
        </w:rPr>
      </w:pPr>
      <w:r>
        <w:rPr>
          <w:rFonts w:eastAsia="Verdana" w:cs="Verdana" w:ascii="Verdana" w:hAnsi="Verdana"/>
          <w:sz w:val="18"/>
          <w:szCs w:val="18"/>
        </w:rPr>
      </w:r>
    </w:p>
    <w:p>
      <w:pPr>
        <w:pStyle w:val="Normal"/>
        <w:pBdr/>
        <w:jc w:val="both"/>
        <w:rPr>
          <w:rFonts w:ascii="Verdana" w:hAnsi="Verdana" w:eastAsia="Verdana" w:cs="Verdana"/>
          <w:sz w:val="18"/>
          <w:szCs w:val="18"/>
        </w:rPr>
      </w:pPr>
      <w:r>
        <w:rPr>
          <w:rFonts w:eastAsia="Verdana" w:cs="Verdana" w:ascii="Verdana" w:hAnsi="Verdana"/>
          <w:b/>
          <w:sz w:val="18"/>
          <w:szCs w:val="18"/>
        </w:rPr>
        <w:t xml:space="preserve">7.5 - </w:t>
      </w:r>
      <w:r>
        <w:rPr>
          <w:rFonts w:eastAsia="Verdana" w:cs="Verdana" w:ascii="Verdana" w:hAnsi="Verdana"/>
          <w:sz w:val="18"/>
          <w:szCs w:val="18"/>
        </w:rPr>
        <w:t>A verificação no Sicaf ou a exigência dos documentos nele não contidos somente será feita em relação ao licitante vencedor.</w:t>
      </w:r>
    </w:p>
    <w:p>
      <w:pPr>
        <w:pStyle w:val="Normal"/>
        <w:pBdr/>
        <w:jc w:val="both"/>
        <w:rPr>
          <w:rFonts w:ascii="Verdana" w:hAnsi="Verdana" w:eastAsia="Verdana" w:cs="Verdana"/>
          <w:sz w:val="18"/>
          <w:szCs w:val="18"/>
        </w:rPr>
      </w:pPr>
      <w:r>
        <w:rPr>
          <w:rFonts w:eastAsia="Verdana" w:cs="Verdana" w:ascii="Verdana" w:hAnsi="Verdana"/>
          <w:sz w:val="18"/>
          <w:szCs w:val="18"/>
        </w:rPr>
      </w:r>
    </w:p>
    <w:p>
      <w:pPr>
        <w:pStyle w:val="Normal"/>
        <w:pBdr/>
        <w:jc w:val="both"/>
        <w:rPr>
          <w:rFonts w:ascii="Verdana" w:hAnsi="Verdana" w:eastAsia="Verdana" w:cs="Verdana"/>
          <w:sz w:val="18"/>
          <w:szCs w:val="18"/>
        </w:rPr>
      </w:pPr>
      <w:r>
        <w:rPr>
          <w:rFonts w:eastAsia="Verdana" w:cs="Verdana" w:ascii="Verdana" w:hAnsi="Verdana"/>
          <w:b/>
          <w:sz w:val="18"/>
          <w:szCs w:val="18"/>
        </w:rPr>
        <w:t>7.6 -</w:t>
      </w:r>
      <w:r>
        <w:rPr>
          <w:rFonts w:eastAsia="Verdana" w:cs="Verdana" w:ascii="Verdana" w:hAnsi="Verdana"/>
          <w:sz w:val="18"/>
          <w:szCs w:val="18"/>
        </w:rPr>
        <w:t xml:space="preserve"> Após a entrega dos documentos para habilitação, não será permitida a substituição ou a apresentação de novos documentos, salvo em sede de diligência, para:</w:t>
      </w:r>
    </w:p>
    <w:p>
      <w:pPr>
        <w:pStyle w:val="Normal"/>
        <w:pBdr/>
        <w:jc w:val="both"/>
        <w:rPr>
          <w:rFonts w:ascii="Verdana" w:hAnsi="Verdana" w:eastAsia="Verdana" w:cs="Verdana"/>
          <w:sz w:val="18"/>
          <w:szCs w:val="18"/>
        </w:rPr>
      </w:pPr>
      <w:r>
        <w:rPr>
          <w:rFonts w:eastAsia="Verdana" w:cs="Verdana" w:ascii="Verdana" w:hAnsi="Verdana"/>
          <w:sz w:val="18"/>
          <w:szCs w:val="18"/>
        </w:rPr>
      </w:r>
    </w:p>
    <w:p>
      <w:pPr>
        <w:pStyle w:val="Normal"/>
        <w:pBdr/>
        <w:ind w:left="284" w:hanging="0"/>
        <w:jc w:val="both"/>
        <w:rPr>
          <w:rFonts w:ascii="Verdana" w:hAnsi="Verdana" w:eastAsia="Verdana" w:cs="Verdana"/>
          <w:sz w:val="18"/>
          <w:szCs w:val="18"/>
        </w:rPr>
      </w:pPr>
      <w:r>
        <w:rPr>
          <w:rFonts w:eastAsia="Verdana" w:cs="Verdana" w:ascii="Verdana" w:hAnsi="Verdana"/>
          <w:b/>
          <w:sz w:val="18"/>
          <w:szCs w:val="18"/>
        </w:rPr>
        <w:t>7.6.1 -</w:t>
      </w:r>
      <w:r>
        <w:rPr>
          <w:rFonts w:eastAsia="Verdana" w:cs="Verdana" w:ascii="Verdana" w:hAnsi="Verdana"/>
          <w:sz w:val="18"/>
          <w:szCs w:val="18"/>
        </w:rPr>
        <w:t xml:space="preserve"> complementação de informações acerca dos documentos já apresentados pelos licitantes e desde que necessária para apurar fatos existentes à época da abertura do certame; e</w:t>
      </w:r>
    </w:p>
    <w:p>
      <w:pPr>
        <w:pStyle w:val="Normal"/>
        <w:pBdr/>
        <w:ind w:left="284" w:hanging="0"/>
        <w:jc w:val="both"/>
        <w:rPr>
          <w:rFonts w:ascii="Verdana" w:hAnsi="Verdana" w:eastAsia="Verdana" w:cs="Verdana"/>
          <w:sz w:val="18"/>
          <w:szCs w:val="18"/>
        </w:rPr>
      </w:pPr>
      <w:r>
        <w:rPr>
          <w:rFonts w:eastAsia="Verdana" w:cs="Verdana" w:ascii="Verdana" w:hAnsi="Verdana"/>
          <w:sz w:val="18"/>
          <w:szCs w:val="18"/>
        </w:rPr>
      </w:r>
    </w:p>
    <w:p>
      <w:pPr>
        <w:pStyle w:val="Normal"/>
        <w:pBdr/>
        <w:ind w:left="284" w:hanging="0"/>
        <w:jc w:val="both"/>
        <w:rPr>
          <w:rFonts w:ascii="Verdana" w:hAnsi="Verdana" w:eastAsia="Verdana" w:cs="Verdana"/>
          <w:sz w:val="18"/>
          <w:szCs w:val="18"/>
        </w:rPr>
      </w:pPr>
      <w:r>
        <w:rPr>
          <w:rFonts w:eastAsia="Verdana" w:cs="Verdana" w:ascii="Verdana" w:hAnsi="Verdana"/>
          <w:b/>
          <w:sz w:val="18"/>
          <w:szCs w:val="18"/>
        </w:rPr>
        <w:t>7.6.2 -</w:t>
      </w:r>
      <w:r>
        <w:rPr>
          <w:rFonts w:eastAsia="Verdana" w:cs="Verdana" w:ascii="Verdana" w:hAnsi="Verdana"/>
          <w:sz w:val="18"/>
          <w:szCs w:val="18"/>
        </w:rPr>
        <w:t xml:space="preserve"> atualização de documentos cuja validade tenha expirado após a data de recebimento das propostas;</w:t>
      </w:r>
    </w:p>
    <w:p>
      <w:pPr>
        <w:pStyle w:val="Normal"/>
        <w:pBdr/>
        <w:jc w:val="both"/>
        <w:rPr>
          <w:rFonts w:ascii="Verdana" w:hAnsi="Verdana" w:eastAsia="Verdana" w:cs="Verdana"/>
          <w:sz w:val="18"/>
          <w:szCs w:val="18"/>
        </w:rPr>
      </w:pPr>
      <w:r>
        <w:rPr>
          <w:rFonts w:eastAsia="Verdana" w:cs="Verdana" w:ascii="Verdana" w:hAnsi="Verdana"/>
          <w:sz w:val="18"/>
          <w:szCs w:val="18"/>
        </w:rPr>
      </w:r>
    </w:p>
    <w:p>
      <w:pPr>
        <w:pStyle w:val="Normal"/>
        <w:pBdr/>
        <w:jc w:val="both"/>
        <w:rPr>
          <w:rFonts w:ascii="Verdana" w:hAnsi="Verdana" w:eastAsia="Verdana" w:cs="Verdana"/>
          <w:sz w:val="18"/>
          <w:szCs w:val="18"/>
        </w:rPr>
      </w:pPr>
      <w:r>
        <w:rPr>
          <w:rFonts w:eastAsia="Verdana" w:cs="Verdana" w:ascii="Verdana" w:hAnsi="Verdana"/>
          <w:b/>
          <w:sz w:val="18"/>
          <w:szCs w:val="18"/>
        </w:rPr>
        <w:t>7.7 -</w:t>
      </w:r>
      <w:r>
        <w:rPr>
          <w:rFonts w:eastAsia="Arial Unicode MS" w:cs="Arial Unicode MS" w:ascii="Arial Unicode MS" w:hAnsi="Arial Unicode MS"/>
          <w:sz w:val="18"/>
          <w:szCs w:val="18"/>
        </w:rPr>
        <w:t xml:space="preserve"> </w:t>
      </w:r>
      <w:r>
        <w:rPr>
          <w:rFonts w:eastAsia="Arial Unicode MS" w:cs="Arial Unicode MS" w:ascii="Verdana" w:hAnsi="Verdana"/>
          <w:sz w:val="18"/>
          <w:szCs w:val="18"/>
        </w:rPr>
        <w:t>Na análise dos documentos de habilitação, o pregoeiro poderá sanar erros ou falhas, que não alterem a substância dos documentos e sua validade jurídica, mediante decisão fundamentada, registrada em ata e acessível a todos, atribuindo-lhes eﬁcácia para fins de habilitação e classificação.</w:t>
      </w:r>
    </w:p>
    <w:p>
      <w:pPr>
        <w:pStyle w:val="Normal"/>
        <w:pBdr/>
        <w:jc w:val="both"/>
        <w:rPr>
          <w:rFonts w:ascii="Verdana" w:hAnsi="Verdana" w:eastAsia="Verdana" w:cs="Verdana"/>
          <w:sz w:val="18"/>
          <w:szCs w:val="18"/>
        </w:rPr>
      </w:pPr>
      <w:r>
        <w:rPr>
          <w:rFonts w:eastAsia="Verdana" w:cs="Verdana" w:ascii="Verdana" w:hAnsi="Verdana"/>
          <w:sz w:val="18"/>
          <w:szCs w:val="18"/>
        </w:rPr>
      </w:r>
    </w:p>
    <w:p>
      <w:pPr>
        <w:pStyle w:val="Normal"/>
        <w:pBdr/>
        <w:jc w:val="both"/>
        <w:rPr>
          <w:rFonts w:ascii="Verdana" w:hAnsi="Verdana" w:eastAsia="Verdana" w:cs="Verdana"/>
          <w:sz w:val="18"/>
          <w:szCs w:val="18"/>
        </w:rPr>
      </w:pPr>
      <w:r>
        <w:rPr>
          <w:rFonts w:eastAsia="Verdana" w:cs="Verdana" w:ascii="Verdana" w:hAnsi="Verdana"/>
          <w:b/>
          <w:sz w:val="18"/>
          <w:szCs w:val="18"/>
        </w:rPr>
        <w:t>7.8 -</w:t>
      </w:r>
      <w:r>
        <w:rPr>
          <w:rFonts w:eastAsia="Verdana" w:cs="Verdana" w:ascii="Verdana" w:hAnsi="Verdana"/>
          <w:sz w:val="18"/>
          <w:szCs w:val="18"/>
        </w:rPr>
        <w:t xml:space="preserve"> Na hipótese de o licitante não atender às exigências para habilitação, o pregoeiro examinará a proposta subsequente e assim sucessivamente, na ordem de classificação, até a apuração de uma proposta que atenda ao presente edital, observado o prazo disposto no subitem 7.4.1.</w:t>
      </w:r>
    </w:p>
    <w:p>
      <w:pPr>
        <w:pStyle w:val="Normal"/>
        <w:pBdr/>
        <w:jc w:val="both"/>
        <w:rPr>
          <w:rFonts w:ascii="Verdana" w:hAnsi="Verdana" w:eastAsia="Verdana" w:cs="Verdana"/>
          <w:b/>
          <w:b/>
          <w:sz w:val="18"/>
          <w:szCs w:val="18"/>
        </w:rPr>
      </w:pPr>
      <w:r>
        <w:rPr>
          <w:rFonts w:eastAsia="Verdana" w:cs="Verdana" w:ascii="Verdana" w:hAnsi="Verdana"/>
          <w:b/>
          <w:sz w:val="18"/>
          <w:szCs w:val="18"/>
        </w:rPr>
      </w:r>
    </w:p>
    <w:p>
      <w:pPr>
        <w:pStyle w:val="Normal"/>
        <w:pBdr/>
        <w:jc w:val="both"/>
        <w:rPr>
          <w:rFonts w:ascii="Verdana" w:hAnsi="Verdana" w:eastAsia="Verdana" w:cs="Verdana"/>
          <w:sz w:val="18"/>
          <w:szCs w:val="18"/>
        </w:rPr>
      </w:pPr>
      <w:r>
        <w:rPr>
          <w:rFonts w:eastAsia="Verdana" w:cs="Verdana" w:ascii="Verdana" w:hAnsi="Verdana"/>
          <w:b/>
          <w:sz w:val="18"/>
          <w:szCs w:val="18"/>
        </w:rPr>
        <w:t>7.9 -</w:t>
      </w:r>
      <w:r>
        <w:rPr>
          <w:rFonts w:eastAsia="Verdana" w:cs="Verdana" w:ascii="Verdana" w:hAnsi="Verdana"/>
          <w:sz w:val="18"/>
          <w:szCs w:val="18"/>
        </w:rPr>
        <w:t xml:space="preserve"> A comprovação de regularidade fiscal e trabalhista das microempresas e das empresas de pequeno porte somente será exigida para efeito de contratação, e não como condição para participação na licitação (art. 4º do Decreto nº 8.538/2015).</w:t>
      </w:r>
    </w:p>
    <w:p>
      <w:pPr>
        <w:pStyle w:val="Normal"/>
        <w:pBdr/>
        <w:jc w:val="both"/>
        <w:rPr>
          <w:rFonts w:ascii="Verdana" w:hAnsi="Verdana" w:eastAsia="Verdana" w:cs="Verdana"/>
          <w:sz w:val="18"/>
          <w:szCs w:val="18"/>
        </w:rPr>
      </w:pPr>
      <w:r>
        <w:rPr>
          <w:rFonts w:eastAsia="Verdana" w:cs="Verdana" w:ascii="Verdana" w:hAnsi="Verdana"/>
          <w:sz w:val="18"/>
          <w:szCs w:val="18"/>
        </w:rPr>
      </w:r>
    </w:p>
    <w:p>
      <w:pPr>
        <w:pStyle w:val="Normal"/>
        <w:shd w:val="clear" w:color="auto" w:fill="C0C0C0"/>
        <w:tabs>
          <w:tab w:val="clear" w:pos="720"/>
          <w:tab w:val="left" w:pos="1134" w:leader="none"/>
          <w:tab w:val="left" w:pos="2268" w:leader="none"/>
          <w:tab w:val="left" w:pos="3402" w:leader="none"/>
          <w:tab w:val="left" w:pos="4536" w:leader="none"/>
          <w:tab w:val="left" w:pos="5670" w:leader="none"/>
          <w:tab w:val="left" w:pos="6804" w:leader="none"/>
          <w:tab w:val="left" w:pos="7938" w:leader="none"/>
          <w:tab w:val="left" w:pos="9072" w:leader="none"/>
          <w:tab w:val="left" w:pos="10206" w:leader="none"/>
          <w:tab w:val="left" w:pos="11340" w:leader="none"/>
        </w:tabs>
        <w:jc w:val="both"/>
        <w:rPr>
          <w:rFonts w:ascii="Verdana" w:hAnsi="Verdana" w:eastAsia="Verdana" w:cs="Verdana"/>
          <w:b/>
          <w:b/>
          <w:sz w:val="18"/>
          <w:szCs w:val="18"/>
        </w:rPr>
      </w:pPr>
      <w:r>
        <w:rPr>
          <w:rFonts w:eastAsia="Verdana" w:cs="Verdana" w:ascii="Verdana" w:hAnsi="Verdana"/>
          <w:b/>
          <w:sz w:val="18"/>
          <w:szCs w:val="18"/>
        </w:rPr>
        <w:t>8 - DOS RECURSOS</w:t>
      </w:r>
    </w:p>
    <w:p>
      <w:pPr>
        <w:pStyle w:val="Normal"/>
        <w:tabs>
          <w:tab w:val="clear" w:pos="720"/>
          <w:tab w:val="left" w:pos="1134" w:leader="none"/>
          <w:tab w:val="left" w:pos="2268" w:leader="none"/>
          <w:tab w:val="left" w:pos="3402" w:leader="none"/>
          <w:tab w:val="left" w:pos="4536" w:leader="none"/>
          <w:tab w:val="left" w:pos="5670" w:leader="none"/>
          <w:tab w:val="left" w:pos="6804" w:leader="none"/>
          <w:tab w:val="left" w:pos="7938" w:leader="none"/>
          <w:tab w:val="left" w:pos="9072" w:leader="none"/>
          <w:tab w:val="left" w:pos="10206" w:leader="none"/>
          <w:tab w:val="left" w:pos="11340" w:leader="none"/>
        </w:tabs>
        <w:jc w:val="both"/>
        <w:rPr>
          <w:rFonts w:ascii="Verdana" w:hAnsi="Verdana" w:eastAsia="Verdana" w:cs="Verdana"/>
          <w:b/>
          <w:b/>
          <w:sz w:val="18"/>
          <w:szCs w:val="18"/>
        </w:rPr>
      </w:pPr>
      <w:r>
        <w:rPr>
          <w:rFonts w:eastAsia="Verdana" w:cs="Verdana" w:ascii="Verdana" w:hAnsi="Verdana"/>
          <w:b/>
          <w:sz w:val="18"/>
          <w:szCs w:val="18"/>
        </w:rPr>
      </w:r>
    </w:p>
    <w:p>
      <w:pPr>
        <w:pStyle w:val="Normal"/>
        <w:jc w:val="both"/>
        <w:rPr>
          <w:rFonts w:ascii="Verdana" w:hAnsi="Verdana" w:eastAsia="Verdana" w:cs="Verdana"/>
          <w:sz w:val="18"/>
          <w:szCs w:val="18"/>
        </w:rPr>
      </w:pPr>
      <w:r>
        <w:rPr>
          <w:rFonts w:eastAsia="Verdana" w:cs="Verdana" w:ascii="Verdana" w:hAnsi="Verdana"/>
          <w:b/>
          <w:sz w:val="18"/>
          <w:szCs w:val="18"/>
        </w:rPr>
        <w:t>8.1 -</w:t>
      </w:r>
      <w:r>
        <w:rPr>
          <w:rFonts w:eastAsia="Verdana" w:cs="Verdana" w:ascii="Verdana" w:hAnsi="Verdana"/>
          <w:sz w:val="18"/>
          <w:szCs w:val="18"/>
        </w:rPr>
        <w:t xml:space="preserve"> A interposição de recurso referente ao julgamento das propostas, à habilitação ou inabilitação de licitantes, à anulação ou revogação da licitação, observará o disposto no art. 165 da Lei nº 14.133, de 2021.</w:t>
      </w:r>
    </w:p>
    <w:p>
      <w:pPr>
        <w:pStyle w:val="Normal"/>
        <w:jc w:val="both"/>
        <w:rPr>
          <w:rFonts w:ascii="Verdana" w:hAnsi="Verdana" w:eastAsia="Verdana" w:cs="Verdana"/>
          <w:sz w:val="18"/>
          <w:szCs w:val="18"/>
        </w:rPr>
      </w:pPr>
      <w:r>
        <w:rPr>
          <w:rFonts w:eastAsia="Verdana" w:cs="Verdana" w:ascii="Verdana" w:hAnsi="Verdana"/>
          <w:sz w:val="18"/>
          <w:szCs w:val="18"/>
        </w:rPr>
      </w:r>
    </w:p>
    <w:p>
      <w:pPr>
        <w:pStyle w:val="Normal"/>
        <w:jc w:val="both"/>
        <w:rPr>
          <w:rFonts w:ascii="Verdana" w:hAnsi="Verdana" w:eastAsia="Verdana" w:cs="Verdana"/>
          <w:sz w:val="18"/>
          <w:szCs w:val="18"/>
        </w:rPr>
      </w:pPr>
      <w:r>
        <w:rPr>
          <w:rFonts w:eastAsia="Verdana" w:cs="Verdana" w:ascii="Verdana" w:hAnsi="Verdana"/>
          <w:b/>
          <w:sz w:val="18"/>
          <w:szCs w:val="18"/>
        </w:rPr>
        <w:t xml:space="preserve">8.2 - </w:t>
      </w:r>
      <w:r>
        <w:rPr>
          <w:rFonts w:eastAsia="Verdana" w:cs="Verdana" w:ascii="Verdana" w:hAnsi="Verdana"/>
          <w:sz w:val="18"/>
          <w:szCs w:val="18"/>
        </w:rPr>
        <w:t>O prazo recursal é de 3 (três) dias úteis, contados da data de intimação ou de lavratura da ata.</w:t>
      </w:r>
    </w:p>
    <w:p>
      <w:pPr>
        <w:pStyle w:val="Normal"/>
        <w:jc w:val="both"/>
        <w:rPr>
          <w:rFonts w:ascii="Verdana" w:hAnsi="Verdana" w:eastAsia="Verdana" w:cs="Verdana"/>
          <w:sz w:val="18"/>
          <w:szCs w:val="18"/>
        </w:rPr>
      </w:pPr>
      <w:r>
        <w:rPr>
          <w:rFonts w:eastAsia="Verdana" w:cs="Verdana" w:ascii="Verdana" w:hAnsi="Verdana"/>
          <w:sz w:val="18"/>
          <w:szCs w:val="18"/>
        </w:rPr>
      </w:r>
    </w:p>
    <w:p>
      <w:pPr>
        <w:pStyle w:val="Normal"/>
        <w:jc w:val="both"/>
        <w:rPr>
          <w:rFonts w:ascii="Verdana" w:hAnsi="Verdana" w:eastAsia="Verdana" w:cs="Verdana"/>
          <w:sz w:val="18"/>
          <w:szCs w:val="18"/>
        </w:rPr>
      </w:pPr>
      <w:r>
        <w:rPr>
          <w:rFonts w:eastAsia="Verdana" w:cs="Verdana" w:ascii="Verdana" w:hAnsi="Verdana"/>
          <w:b/>
          <w:sz w:val="18"/>
          <w:szCs w:val="18"/>
        </w:rPr>
        <w:t xml:space="preserve">8.3 - </w:t>
      </w:r>
      <w:r>
        <w:rPr>
          <w:rFonts w:eastAsia="Verdana" w:cs="Verdana" w:ascii="Verdana" w:hAnsi="Verdana"/>
          <w:sz w:val="18"/>
          <w:szCs w:val="18"/>
        </w:rPr>
        <w:t>Quando o recurso apresentado impugnar o julgamento das propostas ou o ato de habilitação ou inabilitação do licitante:</w:t>
      </w:r>
    </w:p>
    <w:p>
      <w:pPr>
        <w:pStyle w:val="Normal"/>
        <w:jc w:val="both"/>
        <w:rPr>
          <w:rFonts w:ascii="Verdana" w:hAnsi="Verdana" w:eastAsia="Verdana" w:cs="Verdana"/>
          <w:sz w:val="18"/>
          <w:szCs w:val="18"/>
        </w:rPr>
      </w:pPr>
      <w:r>
        <w:rPr>
          <w:rFonts w:eastAsia="Verdana" w:cs="Verdana" w:ascii="Verdana" w:hAnsi="Verdana"/>
          <w:sz w:val="18"/>
          <w:szCs w:val="18"/>
        </w:rPr>
      </w:r>
    </w:p>
    <w:p>
      <w:pPr>
        <w:pStyle w:val="Normal"/>
        <w:ind w:left="284" w:hanging="0"/>
        <w:jc w:val="both"/>
        <w:rPr>
          <w:rFonts w:ascii="Verdana" w:hAnsi="Verdana" w:eastAsia="Verdana" w:cs="Verdana"/>
          <w:sz w:val="18"/>
          <w:szCs w:val="18"/>
        </w:rPr>
      </w:pPr>
      <w:r>
        <w:rPr>
          <w:rFonts w:eastAsia="Verdana" w:cs="Verdana" w:ascii="Verdana" w:hAnsi="Verdana"/>
          <w:b/>
          <w:sz w:val="18"/>
          <w:szCs w:val="18"/>
        </w:rPr>
        <w:t xml:space="preserve">8.3.1 - </w:t>
      </w:r>
      <w:r>
        <w:rPr>
          <w:rFonts w:eastAsia="Verdana" w:cs="Verdana" w:ascii="Verdana" w:hAnsi="Verdana"/>
          <w:sz w:val="18"/>
          <w:szCs w:val="18"/>
        </w:rPr>
        <w:t>a intenção de recorrer deverá ser manifestada imediatamente, sob pena de preclusão;</w:t>
      </w:r>
    </w:p>
    <w:p>
      <w:pPr>
        <w:pStyle w:val="Normal"/>
        <w:ind w:left="284" w:hanging="0"/>
        <w:jc w:val="both"/>
        <w:rPr>
          <w:rFonts w:ascii="Verdana" w:hAnsi="Verdana" w:eastAsia="Verdana" w:cs="Verdana"/>
          <w:sz w:val="18"/>
          <w:szCs w:val="18"/>
        </w:rPr>
      </w:pPr>
      <w:r>
        <w:rPr>
          <w:rFonts w:eastAsia="Verdana" w:cs="Verdana" w:ascii="Verdana" w:hAnsi="Verdana"/>
          <w:sz w:val="18"/>
          <w:szCs w:val="18"/>
        </w:rPr>
      </w:r>
    </w:p>
    <w:p>
      <w:pPr>
        <w:pStyle w:val="Normal"/>
        <w:ind w:left="284" w:hanging="0"/>
        <w:jc w:val="both"/>
        <w:rPr>
          <w:rFonts w:ascii="Verdana" w:hAnsi="Verdana" w:eastAsia="Verdana" w:cs="Verdana"/>
          <w:sz w:val="18"/>
          <w:szCs w:val="18"/>
        </w:rPr>
      </w:pPr>
      <w:r>
        <w:rPr>
          <w:rFonts w:eastAsia="Verdana" w:cs="Verdana" w:ascii="Verdana" w:hAnsi="Verdana"/>
          <w:b/>
          <w:sz w:val="18"/>
          <w:szCs w:val="18"/>
        </w:rPr>
        <w:t>8.3.2 -</w:t>
      </w:r>
      <w:r>
        <w:rPr>
          <w:rFonts w:eastAsia="Verdana" w:cs="Verdana" w:ascii="Verdana" w:hAnsi="Verdana"/>
          <w:sz w:val="18"/>
          <w:szCs w:val="18"/>
        </w:rPr>
        <w:t xml:space="preserve"> o prazo para apresentação das razões recursais será iniciado na data de intimação ou de lavratura da ata de habilitação ou inabilitação;</w:t>
      </w:r>
    </w:p>
    <w:p>
      <w:pPr>
        <w:pStyle w:val="Normal"/>
        <w:jc w:val="both"/>
        <w:rPr>
          <w:rFonts w:ascii="Verdana" w:hAnsi="Verdana" w:eastAsia="Verdana" w:cs="Verdana"/>
          <w:sz w:val="18"/>
          <w:szCs w:val="18"/>
        </w:rPr>
      </w:pPr>
      <w:r>
        <w:rPr>
          <w:rFonts w:eastAsia="Verdana" w:cs="Verdana" w:ascii="Verdana" w:hAnsi="Verdana"/>
          <w:sz w:val="18"/>
          <w:szCs w:val="18"/>
        </w:rPr>
      </w:r>
    </w:p>
    <w:p>
      <w:pPr>
        <w:pStyle w:val="Normal"/>
        <w:jc w:val="both"/>
        <w:rPr>
          <w:rFonts w:ascii="Verdana" w:hAnsi="Verdana" w:eastAsia="Verdana" w:cs="Verdana"/>
          <w:sz w:val="18"/>
          <w:szCs w:val="18"/>
        </w:rPr>
      </w:pPr>
      <w:r>
        <w:rPr>
          <w:rFonts w:eastAsia="Verdana" w:cs="Verdana" w:ascii="Verdana" w:hAnsi="Verdana"/>
          <w:b/>
          <w:sz w:val="18"/>
          <w:szCs w:val="18"/>
        </w:rPr>
        <w:t>8.4 -</w:t>
      </w:r>
      <w:r>
        <w:rPr>
          <w:rFonts w:eastAsia="Verdana" w:cs="Verdana" w:ascii="Verdana" w:hAnsi="Verdana"/>
          <w:sz w:val="18"/>
          <w:szCs w:val="18"/>
        </w:rPr>
        <w:t xml:space="preserve"> Os recursos deverão ser encaminhados em campo próprio do sistema.</w:t>
      </w:r>
    </w:p>
    <w:p>
      <w:pPr>
        <w:pStyle w:val="Normal"/>
        <w:jc w:val="both"/>
        <w:rPr>
          <w:rFonts w:ascii="Verdana" w:hAnsi="Verdana" w:eastAsia="Verdana" w:cs="Verdana"/>
          <w:sz w:val="18"/>
          <w:szCs w:val="18"/>
        </w:rPr>
      </w:pPr>
      <w:r>
        <w:rPr>
          <w:rFonts w:eastAsia="Verdana" w:cs="Verdana" w:ascii="Verdana" w:hAnsi="Verdana"/>
          <w:sz w:val="18"/>
          <w:szCs w:val="18"/>
        </w:rPr>
      </w:r>
    </w:p>
    <w:p>
      <w:pPr>
        <w:pStyle w:val="Normal"/>
        <w:jc w:val="both"/>
        <w:rPr>
          <w:rFonts w:ascii="Verdana" w:hAnsi="Verdana" w:eastAsia="Verdana" w:cs="Verdana"/>
          <w:sz w:val="18"/>
          <w:szCs w:val="18"/>
        </w:rPr>
      </w:pPr>
      <w:r>
        <w:rPr>
          <w:rFonts w:eastAsia="Verdana" w:cs="Verdana" w:ascii="Verdana" w:hAnsi="Verdana"/>
          <w:b/>
          <w:sz w:val="18"/>
          <w:szCs w:val="18"/>
        </w:rPr>
        <w:t>8.5 -</w:t>
      </w:r>
      <w:r>
        <w:rPr>
          <w:rFonts w:eastAsia="Verdana" w:cs="Verdana" w:ascii="Verdana" w:hAnsi="Verdana"/>
          <w:sz w:val="18"/>
          <w:szCs w:val="18"/>
        </w:rPr>
        <w:t xml:space="preserve"> 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pPr>
        <w:pStyle w:val="Normal"/>
        <w:jc w:val="both"/>
        <w:rPr>
          <w:rFonts w:ascii="Verdana" w:hAnsi="Verdana" w:eastAsia="Verdana" w:cs="Verdana"/>
          <w:sz w:val="18"/>
          <w:szCs w:val="18"/>
        </w:rPr>
      </w:pPr>
      <w:r>
        <w:rPr>
          <w:rFonts w:eastAsia="Verdana" w:cs="Verdana" w:ascii="Verdana" w:hAnsi="Verdana"/>
          <w:sz w:val="18"/>
          <w:szCs w:val="18"/>
        </w:rPr>
      </w:r>
    </w:p>
    <w:p>
      <w:pPr>
        <w:pStyle w:val="Normal"/>
        <w:jc w:val="both"/>
        <w:rPr>
          <w:rFonts w:ascii="Verdana" w:hAnsi="Verdana" w:eastAsia="Verdana" w:cs="Verdana"/>
          <w:sz w:val="18"/>
          <w:szCs w:val="18"/>
        </w:rPr>
      </w:pPr>
      <w:r>
        <w:rPr>
          <w:rFonts w:eastAsia="Verdana" w:cs="Verdana" w:ascii="Verdana" w:hAnsi="Verdana"/>
          <w:b/>
          <w:sz w:val="18"/>
          <w:szCs w:val="18"/>
        </w:rPr>
        <w:t>8.6 -</w:t>
      </w:r>
      <w:r>
        <w:rPr>
          <w:rFonts w:eastAsia="Verdana" w:cs="Verdana" w:ascii="Verdana" w:hAnsi="Verdana"/>
          <w:sz w:val="18"/>
          <w:szCs w:val="18"/>
        </w:rPr>
        <w:t xml:space="preserve"> Os recursos interpostos fora do prazo não serão conhecidos. </w:t>
      </w:r>
    </w:p>
    <w:p>
      <w:pPr>
        <w:pStyle w:val="Normal"/>
        <w:jc w:val="both"/>
        <w:rPr>
          <w:rFonts w:ascii="Verdana" w:hAnsi="Verdana" w:eastAsia="Verdana" w:cs="Verdana"/>
          <w:sz w:val="18"/>
          <w:szCs w:val="18"/>
        </w:rPr>
      </w:pPr>
      <w:r>
        <w:rPr>
          <w:rFonts w:eastAsia="Verdana" w:cs="Verdana" w:ascii="Verdana" w:hAnsi="Verdana"/>
          <w:sz w:val="18"/>
          <w:szCs w:val="18"/>
        </w:rPr>
      </w:r>
    </w:p>
    <w:p>
      <w:pPr>
        <w:pStyle w:val="Normal"/>
        <w:jc w:val="both"/>
        <w:rPr>
          <w:rFonts w:ascii="Verdana" w:hAnsi="Verdana" w:eastAsia="Verdana" w:cs="Verdana"/>
          <w:sz w:val="18"/>
          <w:szCs w:val="18"/>
        </w:rPr>
      </w:pPr>
      <w:r>
        <w:rPr>
          <w:rFonts w:eastAsia="Verdana" w:cs="Verdana" w:ascii="Verdana" w:hAnsi="Verdana"/>
          <w:b/>
          <w:sz w:val="18"/>
          <w:szCs w:val="18"/>
        </w:rPr>
        <w:t>8.7 -</w:t>
      </w:r>
      <w:r>
        <w:rPr>
          <w:rFonts w:eastAsia="Verdana" w:cs="Verdana" w:ascii="Verdana" w:hAnsi="Verdana"/>
          <w:sz w:val="18"/>
          <w:szCs w:val="18"/>
        </w:rPr>
        <w:t xml:space="preserve"> 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pPr>
        <w:pStyle w:val="Normal"/>
        <w:jc w:val="both"/>
        <w:rPr>
          <w:rFonts w:ascii="Verdana" w:hAnsi="Verdana" w:eastAsia="Verdana" w:cs="Verdana"/>
          <w:sz w:val="18"/>
          <w:szCs w:val="18"/>
        </w:rPr>
      </w:pPr>
      <w:r>
        <w:rPr>
          <w:rFonts w:eastAsia="Verdana" w:cs="Verdana" w:ascii="Verdana" w:hAnsi="Verdana"/>
          <w:sz w:val="18"/>
          <w:szCs w:val="18"/>
        </w:rPr>
      </w:r>
    </w:p>
    <w:p>
      <w:pPr>
        <w:pStyle w:val="Normal"/>
        <w:jc w:val="both"/>
        <w:rPr>
          <w:rFonts w:ascii="Verdana" w:hAnsi="Verdana" w:eastAsia="Verdana" w:cs="Verdana"/>
          <w:sz w:val="18"/>
          <w:szCs w:val="18"/>
        </w:rPr>
      </w:pPr>
      <w:r>
        <w:rPr>
          <w:rFonts w:eastAsia="Verdana" w:cs="Verdana" w:ascii="Verdana" w:hAnsi="Verdana"/>
          <w:b/>
          <w:sz w:val="18"/>
          <w:szCs w:val="18"/>
        </w:rPr>
        <w:t xml:space="preserve">8.8 - </w:t>
      </w:r>
      <w:r>
        <w:rPr>
          <w:rFonts w:eastAsia="Verdana" w:cs="Verdana" w:ascii="Verdana" w:hAnsi="Verdana"/>
          <w:sz w:val="18"/>
          <w:szCs w:val="18"/>
        </w:rPr>
        <w:t xml:space="preserve">O recurso e o pedido de reconsideração terão efeito suspensivo do ato ou da decisão recorrida até que sobrevenha decisão final da autoridade competente. </w:t>
      </w:r>
    </w:p>
    <w:p>
      <w:pPr>
        <w:pStyle w:val="Normal"/>
        <w:jc w:val="both"/>
        <w:rPr>
          <w:rFonts w:ascii="Verdana" w:hAnsi="Verdana" w:eastAsia="Verdana" w:cs="Verdana"/>
          <w:sz w:val="18"/>
          <w:szCs w:val="18"/>
        </w:rPr>
      </w:pPr>
      <w:r>
        <w:rPr>
          <w:rFonts w:eastAsia="Verdana" w:cs="Verdana" w:ascii="Verdana" w:hAnsi="Verdana"/>
          <w:sz w:val="18"/>
          <w:szCs w:val="18"/>
        </w:rPr>
      </w:r>
    </w:p>
    <w:p>
      <w:pPr>
        <w:pStyle w:val="Normal"/>
        <w:jc w:val="both"/>
        <w:rPr>
          <w:rFonts w:ascii="Verdana" w:hAnsi="Verdana" w:eastAsia="Verdana" w:cs="Verdana"/>
          <w:b/>
          <w:b/>
          <w:sz w:val="18"/>
          <w:szCs w:val="18"/>
        </w:rPr>
      </w:pPr>
      <w:r>
        <w:rPr>
          <w:rFonts w:eastAsia="Verdana" w:cs="Verdana" w:ascii="Verdana" w:hAnsi="Verdana"/>
          <w:b/>
          <w:sz w:val="18"/>
          <w:szCs w:val="18"/>
        </w:rPr>
        <w:t>8.9 -</w:t>
      </w:r>
      <w:r>
        <w:rPr>
          <w:rFonts w:eastAsia="Verdana" w:cs="Verdana" w:ascii="Verdana" w:hAnsi="Verdana"/>
          <w:sz w:val="18"/>
          <w:szCs w:val="18"/>
        </w:rPr>
        <w:t xml:space="preserve"> O acolhimento do recurso invalida tão somente os atos insuscetíveis de </w:t>
      </w:r>
      <w:r>
        <w:rPr>
          <w:rFonts w:eastAsia="Verdana" w:cs="Verdana" w:ascii="Verdana" w:hAnsi="Verdana"/>
          <w:b/>
          <w:sz w:val="18"/>
          <w:szCs w:val="18"/>
        </w:rPr>
        <w:t xml:space="preserve">aproveitamento. </w:t>
      </w:r>
    </w:p>
    <w:p>
      <w:pPr>
        <w:pStyle w:val="Normal"/>
        <w:jc w:val="both"/>
        <w:rPr>
          <w:rFonts w:ascii="Verdana" w:hAnsi="Verdana" w:eastAsia="Verdana" w:cs="Verdana"/>
          <w:sz w:val="18"/>
          <w:szCs w:val="18"/>
        </w:rPr>
      </w:pPr>
      <w:r>
        <w:rPr>
          <w:rFonts w:eastAsia="Verdana" w:cs="Verdana" w:ascii="Verdana" w:hAnsi="Verdana"/>
          <w:sz w:val="18"/>
          <w:szCs w:val="18"/>
        </w:rPr>
      </w:r>
    </w:p>
    <w:p>
      <w:pPr>
        <w:pStyle w:val="Normal"/>
        <w:jc w:val="both"/>
        <w:rPr>
          <w:rFonts w:ascii="Verdana" w:hAnsi="Verdana" w:eastAsia="Verdana" w:cs="Verdana"/>
          <w:sz w:val="18"/>
          <w:szCs w:val="18"/>
        </w:rPr>
      </w:pPr>
      <w:r>
        <w:rPr>
          <w:rFonts w:eastAsia="Verdana" w:cs="Verdana" w:ascii="Verdana" w:hAnsi="Verdana"/>
          <w:b/>
          <w:sz w:val="18"/>
          <w:szCs w:val="18"/>
        </w:rPr>
        <w:t>8.10 -</w:t>
      </w:r>
      <w:r>
        <w:rPr>
          <w:rFonts w:eastAsia="Verdana" w:cs="Verdana" w:ascii="Verdana" w:hAnsi="Verdana"/>
          <w:sz w:val="18"/>
          <w:szCs w:val="18"/>
        </w:rPr>
        <w:t xml:space="preserve"> Os autos do processo permanecerão com vista franqueada aos interessados, por meio de solicitação através do e-mail: &lt;</w:t>
      </w:r>
      <w:hyperlink r:id="rId12">
        <w:r>
          <w:rPr>
            <w:rFonts w:eastAsia="Verdana" w:cs="Verdana" w:ascii="Verdana" w:hAnsi="Verdana"/>
            <w:sz w:val="18"/>
            <w:szCs w:val="18"/>
            <w:u w:val="single"/>
          </w:rPr>
          <w:t>contratacao@tjes.jus.br</w:t>
        </w:r>
      </w:hyperlink>
      <w:r>
        <w:rPr>
          <w:rFonts w:eastAsia="Verdana" w:cs="Verdana" w:ascii="Verdana" w:hAnsi="Verdana"/>
          <w:sz w:val="18"/>
          <w:szCs w:val="18"/>
        </w:rPr>
        <w:t>&gt;.</w:t>
      </w:r>
    </w:p>
    <w:p>
      <w:pPr>
        <w:pStyle w:val="Normal"/>
        <w:pBdr/>
        <w:jc w:val="both"/>
        <w:rPr>
          <w:rFonts w:ascii="Verdana" w:hAnsi="Verdana" w:eastAsia="Verdana" w:cs="Verdana"/>
          <w:sz w:val="18"/>
          <w:szCs w:val="18"/>
        </w:rPr>
      </w:pPr>
      <w:r>
        <w:rPr>
          <w:rFonts w:eastAsia="Verdana" w:cs="Verdana" w:ascii="Verdana" w:hAnsi="Verdana"/>
          <w:sz w:val="18"/>
          <w:szCs w:val="18"/>
        </w:rPr>
      </w:r>
    </w:p>
    <w:p>
      <w:pPr>
        <w:pStyle w:val="Normal"/>
        <w:shd w:val="clear" w:color="auto" w:fill="C0C0C0"/>
        <w:tabs>
          <w:tab w:val="clear" w:pos="720"/>
          <w:tab w:val="left" w:pos="1134" w:leader="none"/>
          <w:tab w:val="left" w:pos="2268" w:leader="none"/>
          <w:tab w:val="left" w:pos="3402" w:leader="none"/>
          <w:tab w:val="left" w:pos="4536" w:leader="none"/>
          <w:tab w:val="left" w:pos="5670" w:leader="none"/>
          <w:tab w:val="left" w:pos="6804" w:leader="none"/>
          <w:tab w:val="left" w:pos="7938" w:leader="none"/>
          <w:tab w:val="left" w:pos="9072" w:leader="none"/>
          <w:tab w:val="left" w:pos="10206" w:leader="none"/>
          <w:tab w:val="left" w:pos="11340" w:leader="none"/>
        </w:tabs>
        <w:jc w:val="both"/>
        <w:rPr>
          <w:rFonts w:ascii="Verdana" w:hAnsi="Verdana" w:eastAsia="Verdana" w:cs="Verdana"/>
          <w:b/>
          <w:b/>
          <w:sz w:val="18"/>
          <w:szCs w:val="18"/>
        </w:rPr>
      </w:pPr>
      <w:r>
        <w:rPr>
          <w:rFonts w:eastAsia="Verdana" w:cs="Verdana" w:ascii="Verdana" w:hAnsi="Verdana"/>
          <w:b/>
          <w:sz w:val="18"/>
          <w:szCs w:val="18"/>
        </w:rPr>
        <w:t>9 - DAS MICROEMPRESAS E EMPRESAS DE PEQUENO PORTE</w:t>
      </w:r>
    </w:p>
    <w:p>
      <w:pPr>
        <w:pStyle w:val="Normal"/>
        <w:jc w:val="both"/>
        <w:rPr>
          <w:rFonts w:ascii="Verdana" w:hAnsi="Verdana" w:eastAsia="Verdana" w:cs="Verdana"/>
          <w:b/>
          <w:b/>
          <w:sz w:val="18"/>
          <w:szCs w:val="18"/>
        </w:rPr>
      </w:pPr>
      <w:r>
        <w:rPr>
          <w:rFonts w:eastAsia="Verdana" w:cs="Verdana" w:ascii="Verdana" w:hAnsi="Verdana"/>
          <w:b/>
          <w:sz w:val="18"/>
          <w:szCs w:val="18"/>
        </w:rPr>
      </w:r>
    </w:p>
    <w:p>
      <w:pPr>
        <w:pStyle w:val="Normal"/>
        <w:tabs>
          <w:tab w:val="clear" w:pos="720"/>
          <w:tab w:val="left" w:pos="9356" w:leader="none"/>
        </w:tabs>
        <w:spacing w:before="6" w:after="0"/>
        <w:ind w:right="-38" w:hanging="0"/>
        <w:jc w:val="both"/>
        <w:rPr>
          <w:rFonts w:ascii="Verdana" w:hAnsi="Verdana" w:eastAsia="Verdana" w:cs="Verdana"/>
          <w:sz w:val="18"/>
          <w:szCs w:val="18"/>
        </w:rPr>
      </w:pPr>
      <w:r>
        <w:rPr>
          <w:rFonts w:eastAsia="Verdana" w:cs="Verdana" w:ascii="Verdana" w:hAnsi="Verdana"/>
          <w:b/>
          <w:sz w:val="18"/>
          <w:szCs w:val="18"/>
        </w:rPr>
        <w:t xml:space="preserve">9.1 - </w:t>
      </w:r>
      <w:r>
        <w:rPr>
          <w:rFonts w:eastAsia="Verdana" w:cs="Verdana" w:ascii="Verdana" w:hAnsi="Verdana"/>
          <w:sz w:val="18"/>
          <w:szCs w:val="18"/>
        </w:rPr>
        <w:t xml:space="preserve">Aplicar-se-ão as prerrogativas estabelecidas na Lei Complementar Federal n° 123/2006 e Lei Complementar Estadual nº 618/2012 às microempresas, empresas de pequeno porte, microempreendedor individual ou equiparado, previamente identificadas no sistema, por ocasião da participação neste certame licitatório. </w:t>
      </w:r>
    </w:p>
    <w:p>
      <w:pPr>
        <w:pStyle w:val="Normal"/>
        <w:tabs>
          <w:tab w:val="clear" w:pos="720"/>
          <w:tab w:val="left" w:pos="9356" w:leader="none"/>
        </w:tabs>
        <w:spacing w:before="6" w:after="0"/>
        <w:ind w:right="-38" w:hanging="0"/>
        <w:jc w:val="both"/>
        <w:rPr>
          <w:rFonts w:ascii="Verdana" w:hAnsi="Verdana" w:eastAsia="Verdana" w:cs="Verdana"/>
          <w:sz w:val="18"/>
          <w:szCs w:val="18"/>
        </w:rPr>
      </w:pPr>
      <w:r>
        <w:rPr>
          <w:rFonts w:eastAsia="Verdana" w:cs="Verdana" w:ascii="Verdana" w:hAnsi="Verdana"/>
          <w:sz w:val="18"/>
          <w:szCs w:val="18"/>
        </w:rPr>
      </w:r>
    </w:p>
    <w:p>
      <w:pPr>
        <w:pStyle w:val="Normal"/>
        <w:tabs>
          <w:tab w:val="clear" w:pos="720"/>
          <w:tab w:val="left" w:pos="9356" w:leader="none"/>
        </w:tabs>
        <w:spacing w:before="6" w:after="0"/>
        <w:ind w:right="-38" w:hanging="0"/>
        <w:jc w:val="both"/>
        <w:rPr>
          <w:rFonts w:ascii="Verdana" w:hAnsi="Verdana" w:eastAsia="Verdana" w:cs="Verdana"/>
          <w:sz w:val="18"/>
          <w:szCs w:val="18"/>
        </w:rPr>
      </w:pPr>
      <w:r>
        <w:rPr>
          <w:rFonts w:eastAsia="Verdana" w:cs="Verdana" w:ascii="Verdana" w:hAnsi="Verdana"/>
          <w:b/>
          <w:sz w:val="18"/>
          <w:szCs w:val="18"/>
        </w:rPr>
        <w:t>9.2 -</w:t>
      </w:r>
      <w:r>
        <w:rPr>
          <w:rFonts w:eastAsia="Verdana" w:cs="Verdana" w:ascii="Verdana" w:hAnsi="Verdana"/>
          <w:sz w:val="18"/>
          <w:szCs w:val="18"/>
        </w:rPr>
        <w:t xml:space="preserve"> Nos casos de microempresas, empresas de pequeno porte ou equiparadas, não se exige comprovação de regularidade fiscal e trabalhista para fins de habilitação, mas somente para formalização da contratação, observadas as seguintes regras:</w:t>
      </w:r>
    </w:p>
    <w:p>
      <w:pPr>
        <w:pStyle w:val="Normal"/>
        <w:tabs>
          <w:tab w:val="clear" w:pos="720"/>
          <w:tab w:val="left" w:pos="9356" w:leader="none"/>
        </w:tabs>
        <w:spacing w:before="6" w:after="0"/>
        <w:ind w:right="-38" w:hanging="0"/>
        <w:jc w:val="both"/>
        <w:rPr>
          <w:rFonts w:ascii="Verdana" w:hAnsi="Verdana" w:eastAsia="Verdana" w:cs="Verdana"/>
          <w:sz w:val="18"/>
          <w:szCs w:val="18"/>
        </w:rPr>
      </w:pPr>
      <w:r>
        <w:rPr>
          <w:rFonts w:eastAsia="Verdana" w:cs="Verdana" w:ascii="Verdana" w:hAnsi="Verdana"/>
          <w:sz w:val="18"/>
          <w:szCs w:val="18"/>
        </w:rPr>
      </w:r>
    </w:p>
    <w:p>
      <w:pPr>
        <w:pStyle w:val="Normal"/>
        <w:tabs>
          <w:tab w:val="clear" w:pos="720"/>
          <w:tab w:val="left" w:pos="9356" w:leader="none"/>
        </w:tabs>
        <w:spacing w:before="6" w:after="0"/>
        <w:ind w:left="284" w:right="-38" w:hanging="0"/>
        <w:jc w:val="both"/>
        <w:rPr>
          <w:rFonts w:ascii="Verdana" w:hAnsi="Verdana" w:eastAsia="Verdana" w:cs="Verdana"/>
          <w:sz w:val="18"/>
          <w:szCs w:val="18"/>
        </w:rPr>
      </w:pPr>
      <w:r>
        <w:rPr>
          <w:rFonts w:eastAsia="Verdana" w:cs="Verdana" w:ascii="Verdana" w:hAnsi="Verdana"/>
          <w:b/>
          <w:sz w:val="18"/>
          <w:szCs w:val="18"/>
        </w:rPr>
        <w:t>9.2.1 -</w:t>
      </w:r>
      <w:r>
        <w:rPr>
          <w:rFonts w:eastAsia="Verdana" w:cs="Verdana" w:ascii="Verdana" w:hAnsi="Verdana"/>
          <w:sz w:val="18"/>
          <w:szCs w:val="18"/>
        </w:rPr>
        <w:t xml:space="preserve"> A licitante deverá apresentar, à época da habilitação, todos os documentos exigidos para efeito de comprovação de regularidade fiscal e trabalhista, mesmo que apresentem alguma restrição;</w:t>
      </w:r>
    </w:p>
    <w:p>
      <w:pPr>
        <w:pStyle w:val="Normal"/>
        <w:tabs>
          <w:tab w:val="clear" w:pos="720"/>
          <w:tab w:val="left" w:pos="9356" w:leader="none"/>
        </w:tabs>
        <w:spacing w:before="6" w:after="0"/>
        <w:ind w:left="284" w:right="-38" w:hanging="0"/>
        <w:jc w:val="both"/>
        <w:rPr>
          <w:rFonts w:ascii="Verdana" w:hAnsi="Verdana" w:eastAsia="Verdana" w:cs="Verdana"/>
          <w:sz w:val="18"/>
          <w:szCs w:val="18"/>
        </w:rPr>
      </w:pPr>
      <w:r>
        <w:rPr>
          <w:rFonts w:eastAsia="Verdana" w:cs="Verdana" w:ascii="Verdana" w:hAnsi="Verdana"/>
          <w:sz w:val="18"/>
          <w:szCs w:val="18"/>
        </w:rPr>
      </w:r>
    </w:p>
    <w:p>
      <w:pPr>
        <w:pStyle w:val="Normal"/>
        <w:tabs>
          <w:tab w:val="clear" w:pos="720"/>
          <w:tab w:val="left" w:pos="9356" w:leader="none"/>
        </w:tabs>
        <w:spacing w:before="6" w:after="0"/>
        <w:ind w:left="284" w:right="-38" w:hanging="0"/>
        <w:jc w:val="both"/>
        <w:rPr>
          <w:rFonts w:ascii="Verdana" w:hAnsi="Verdana" w:eastAsia="Verdana" w:cs="Verdana"/>
          <w:sz w:val="18"/>
          <w:szCs w:val="18"/>
        </w:rPr>
      </w:pPr>
      <w:r>
        <w:rPr>
          <w:rFonts w:eastAsia="Verdana" w:cs="Verdana" w:ascii="Verdana" w:hAnsi="Verdana"/>
          <w:b/>
          <w:sz w:val="18"/>
          <w:szCs w:val="18"/>
        </w:rPr>
        <w:t xml:space="preserve">9.2.2 - </w:t>
      </w:r>
      <w:r>
        <w:rPr>
          <w:rFonts w:eastAsia="Verdana" w:cs="Verdana" w:ascii="Verdana" w:hAnsi="Verdana"/>
          <w:sz w:val="18"/>
          <w:szCs w:val="18"/>
        </w:rPr>
        <w:t>Havendo alguma restrição na comprovação da regularidade fiscal e trabalhista, é assegurado o prazo de 5 (cinco) dias úteis, cujo termo inicial corresponderá ao momento em que o proponente for declarado vencedor do certame, para a regularização da documentação, pagamento ou parcelamento do débito, e emissão de eventuais certidões negativas ou positivas com efeito de certidão negativa;</w:t>
      </w:r>
    </w:p>
    <w:p>
      <w:pPr>
        <w:pStyle w:val="Normal"/>
        <w:tabs>
          <w:tab w:val="clear" w:pos="720"/>
          <w:tab w:val="left" w:pos="9356" w:leader="none"/>
        </w:tabs>
        <w:spacing w:before="6" w:after="0"/>
        <w:ind w:left="284" w:right="-38" w:hanging="0"/>
        <w:jc w:val="both"/>
        <w:rPr>
          <w:rFonts w:ascii="Verdana" w:hAnsi="Verdana" w:eastAsia="Verdana" w:cs="Verdana"/>
          <w:sz w:val="18"/>
          <w:szCs w:val="18"/>
        </w:rPr>
      </w:pPr>
      <w:r>
        <w:rPr>
          <w:rFonts w:eastAsia="Verdana" w:cs="Verdana" w:ascii="Verdana" w:hAnsi="Verdana"/>
          <w:sz w:val="18"/>
          <w:szCs w:val="18"/>
        </w:rPr>
      </w:r>
    </w:p>
    <w:p>
      <w:pPr>
        <w:pStyle w:val="Normal"/>
        <w:tabs>
          <w:tab w:val="clear" w:pos="720"/>
          <w:tab w:val="left" w:pos="9356" w:leader="none"/>
        </w:tabs>
        <w:spacing w:before="6" w:after="0"/>
        <w:ind w:left="284" w:right="-38" w:hanging="0"/>
        <w:jc w:val="both"/>
        <w:rPr>
          <w:rFonts w:ascii="Verdana" w:hAnsi="Verdana" w:eastAsia="Verdana" w:cs="Verdana"/>
          <w:sz w:val="18"/>
          <w:szCs w:val="18"/>
        </w:rPr>
      </w:pPr>
      <w:r>
        <w:rPr>
          <w:rFonts w:eastAsia="Verdana" w:cs="Verdana" w:ascii="Verdana" w:hAnsi="Verdana"/>
          <w:b/>
          <w:sz w:val="18"/>
          <w:szCs w:val="18"/>
        </w:rPr>
        <w:t>9.2.3 -</w:t>
      </w:r>
      <w:r>
        <w:rPr>
          <w:rFonts w:eastAsia="Verdana" w:cs="Verdana" w:ascii="Verdana" w:hAnsi="Verdana"/>
          <w:sz w:val="18"/>
          <w:szCs w:val="18"/>
        </w:rPr>
        <w:t xml:space="preserve"> O prazo a que se refere o item anterior poderá, a critério da Administração Pública, ser prorrogado por igual período;</w:t>
      </w:r>
    </w:p>
    <w:p>
      <w:pPr>
        <w:pStyle w:val="Normal"/>
        <w:tabs>
          <w:tab w:val="clear" w:pos="720"/>
          <w:tab w:val="left" w:pos="9356" w:leader="none"/>
        </w:tabs>
        <w:spacing w:before="6" w:after="0"/>
        <w:ind w:left="284" w:right="-38" w:hanging="0"/>
        <w:jc w:val="both"/>
        <w:rPr>
          <w:rFonts w:ascii="Verdana" w:hAnsi="Verdana" w:eastAsia="Verdana" w:cs="Verdana"/>
          <w:sz w:val="18"/>
          <w:szCs w:val="18"/>
        </w:rPr>
      </w:pPr>
      <w:r>
        <w:rPr>
          <w:rFonts w:eastAsia="Verdana" w:cs="Verdana" w:ascii="Verdana" w:hAnsi="Verdana"/>
          <w:sz w:val="18"/>
          <w:szCs w:val="18"/>
        </w:rPr>
      </w:r>
    </w:p>
    <w:p>
      <w:pPr>
        <w:pStyle w:val="Normal"/>
        <w:tabs>
          <w:tab w:val="clear" w:pos="720"/>
          <w:tab w:val="left" w:pos="9356" w:leader="none"/>
        </w:tabs>
        <w:spacing w:before="6" w:after="0"/>
        <w:ind w:left="284" w:right="-38" w:hanging="0"/>
        <w:jc w:val="both"/>
        <w:rPr>
          <w:rFonts w:ascii="Verdana" w:hAnsi="Verdana" w:eastAsia="Verdana" w:cs="Verdana"/>
          <w:sz w:val="18"/>
          <w:szCs w:val="18"/>
        </w:rPr>
      </w:pPr>
      <w:r>
        <w:rPr>
          <w:rFonts w:eastAsia="Verdana" w:cs="Verdana" w:ascii="Verdana" w:hAnsi="Verdana"/>
          <w:b/>
          <w:sz w:val="18"/>
          <w:szCs w:val="18"/>
        </w:rPr>
        <w:t xml:space="preserve">9.2.4 - </w:t>
      </w:r>
      <w:r>
        <w:rPr>
          <w:rFonts w:eastAsia="Verdana" w:cs="Verdana" w:ascii="Verdana" w:hAnsi="Verdana"/>
          <w:sz w:val="18"/>
          <w:szCs w:val="18"/>
        </w:rPr>
        <w:t>Em caso de atraso por parte do órgão competente para emissão de certidões comprobatórias de regularidade fiscal e trabalhista, a licitante poderá apresentar à Administração outro documento que comprove a extinção ou suspensão do crédito tributário, respectivamente, nos termos dos arts. 156 e 151 do Código Tributário Nacional, acompanhado de prova do protocolo do pedido de certidão;</w:t>
      </w:r>
    </w:p>
    <w:p>
      <w:pPr>
        <w:pStyle w:val="Normal"/>
        <w:tabs>
          <w:tab w:val="clear" w:pos="720"/>
          <w:tab w:val="left" w:pos="9356" w:leader="none"/>
        </w:tabs>
        <w:spacing w:before="6" w:after="0"/>
        <w:ind w:left="284" w:right="-38" w:hanging="0"/>
        <w:jc w:val="both"/>
        <w:rPr>
          <w:rFonts w:ascii="Verdana" w:hAnsi="Verdana" w:eastAsia="Verdana" w:cs="Verdana"/>
          <w:sz w:val="18"/>
          <w:szCs w:val="18"/>
        </w:rPr>
      </w:pPr>
      <w:r>
        <w:rPr>
          <w:rFonts w:eastAsia="Verdana" w:cs="Verdana" w:ascii="Verdana" w:hAnsi="Verdana"/>
          <w:sz w:val="18"/>
          <w:szCs w:val="18"/>
        </w:rPr>
      </w:r>
    </w:p>
    <w:p>
      <w:pPr>
        <w:pStyle w:val="Normal"/>
        <w:tabs>
          <w:tab w:val="clear" w:pos="720"/>
          <w:tab w:val="left" w:pos="9356" w:leader="none"/>
        </w:tabs>
        <w:spacing w:before="6" w:after="0"/>
        <w:ind w:left="284" w:right="-38" w:hanging="0"/>
        <w:jc w:val="both"/>
        <w:rPr>
          <w:rFonts w:ascii="Verdana" w:hAnsi="Verdana" w:eastAsia="Verdana" w:cs="Verdana"/>
          <w:sz w:val="18"/>
          <w:szCs w:val="18"/>
        </w:rPr>
      </w:pPr>
      <w:r>
        <w:rPr>
          <w:rFonts w:eastAsia="Verdana" w:cs="Verdana" w:ascii="Verdana" w:hAnsi="Verdana"/>
          <w:b/>
          <w:sz w:val="18"/>
          <w:szCs w:val="18"/>
        </w:rPr>
        <w:t>9.2.5 -</w:t>
      </w:r>
      <w:r>
        <w:rPr>
          <w:rFonts w:eastAsia="Verdana" w:cs="Verdana" w:ascii="Verdana" w:hAnsi="Verdana"/>
          <w:sz w:val="18"/>
          <w:szCs w:val="18"/>
        </w:rPr>
        <w:t xml:space="preserve"> Na hipótese descrita no inciso anterior, a licitante terá o prazo de 10 (dez) dias, contado da apresentação dos documentos a que se refere o parágrafo anterior, para apresentar a certidão comprobatória de regularidade fiscal e trabalhista;</w:t>
      </w:r>
    </w:p>
    <w:p>
      <w:pPr>
        <w:pStyle w:val="Normal"/>
        <w:tabs>
          <w:tab w:val="clear" w:pos="720"/>
          <w:tab w:val="left" w:pos="9356" w:leader="none"/>
        </w:tabs>
        <w:spacing w:before="6" w:after="0"/>
        <w:ind w:left="284" w:right="-38" w:hanging="0"/>
        <w:jc w:val="both"/>
        <w:rPr>
          <w:rFonts w:ascii="Verdana" w:hAnsi="Verdana" w:eastAsia="Verdana" w:cs="Verdana"/>
          <w:sz w:val="18"/>
          <w:szCs w:val="18"/>
        </w:rPr>
      </w:pPr>
      <w:r>
        <w:rPr>
          <w:rFonts w:eastAsia="Verdana" w:cs="Verdana" w:ascii="Verdana" w:hAnsi="Verdana"/>
          <w:sz w:val="18"/>
          <w:szCs w:val="18"/>
        </w:rPr>
      </w:r>
    </w:p>
    <w:p>
      <w:pPr>
        <w:pStyle w:val="Normal"/>
        <w:tabs>
          <w:tab w:val="clear" w:pos="720"/>
          <w:tab w:val="left" w:pos="9356" w:leader="none"/>
        </w:tabs>
        <w:spacing w:before="6" w:after="0"/>
        <w:ind w:left="284" w:right="-38" w:hanging="0"/>
        <w:jc w:val="both"/>
        <w:rPr>
          <w:rFonts w:ascii="Verdana" w:hAnsi="Verdana" w:eastAsia="Verdana" w:cs="Verdana"/>
          <w:sz w:val="18"/>
          <w:szCs w:val="18"/>
        </w:rPr>
      </w:pPr>
      <w:r>
        <w:rPr>
          <w:rFonts w:eastAsia="Verdana" w:cs="Verdana" w:ascii="Verdana" w:hAnsi="Verdana"/>
          <w:b/>
          <w:sz w:val="18"/>
          <w:szCs w:val="18"/>
        </w:rPr>
        <w:t>9.2.6 -</w:t>
      </w:r>
      <w:r>
        <w:rPr>
          <w:rFonts w:eastAsia="Verdana" w:cs="Verdana" w:ascii="Verdana" w:hAnsi="Verdana"/>
          <w:sz w:val="18"/>
          <w:szCs w:val="18"/>
        </w:rPr>
        <w:t xml:space="preserve"> O prazo a que se refere o item anterior poderá, a critério da Administração Pública, ser prorrogado por igual período, uma única vez, se demonstrado pela licitante a impossibilidade de o órgão competente emitir a certidão;</w:t>
      </w:r>
    </w:p>
    <w:p>
      <w:pPr>
        <w:pStyle w:val="Normal"/>
        <w:tabs>
          <w:tab w:val="clear" w:pos="720"/>
          <w:tab w:val="left" w:pos="9356" w:leader="none"/>
        </w:tabs>
        <w:spacing w:before="6" w:after="0"/>
        <w:ind w:right="-38" w:hanging="0"/>
        <w:jc w:val="both"/>
        <w:rPr>
          <w:rFonts w:ascii="Verdana" w:hAnsi="Verdana" w:eastAsia="Verdana" w:cs="Verdana"/>
          <w:sz w:val="18"/>
          <w:szCs w:val="18"/>
        </w:rPr>
      </w:pPr>
      <w:r>
        <w:rPr>
          <w:rFonts w:eastAsia="Verdana" w:cs="Verdana" w:ascii="Verdana" w:hAnsi="Verdana"/>
          <w:sz w:val="18"/>
          <w:szCs w:val="18"/>
        </w:rPr>
      </w:r>
    </w:p>
    <w:p>
      <w:pPr>
        <w:pStyle w:val="Normal"/>
        <w:tabs>
          <w:tab w:val="clear" w:pos="720"/>
          <w:tab w:val="left" w:pos="9356" w:leader="none"/>
        </w:tabs>
        <w:spacing w:before="6" w:after="0"/>
        <w:ind w:right="-38" w:hanging="0"/>
        <w:jc w:val="both"/>
        <w:rPr>
          <w:rFonts w:ascii="Verdana" w:hAnsi="Verdana" w:eastAsia="Verdana" w:cs="Verdana"/>
          <w:sz w:val="18"/>
          <w:szCs w:val="18"/>
        </w:rPr>
      </w:pPr>
      <w:r>
        <w:rPr>
          <w:rFonts w:eastAsia="Verdana" w:cs="Verdana" w:ascii="Verdana" w:hAnsi="Verdana"/>
          <w:b/>
          <w:sz w:val="18"/>
          <w:szCs w:val="18"/>
        </w:rPr>
        <w:t>9.3 -</w:t>
      </w:r>
      <w:r>
        <w:rPr>
          <w:rFonts w:eastAsia="Verdana" w:cs="Verdana" w:ascii="Verdana" w:hAnsi="Verdana"/>
          <w:sz w:val="18"/>
          <w:szCs w:val="18"/>
        </w:rPr>
        <w:t xml:space="preserve"> Neste procedimento será assegurada, como critério de desempate, a preferência de contratação para as microempresas e empresas de pequeno porte.</w:t>
      </w:r>
    </w:p>
    <w:p>
      <w:pPr>
        <w:pStyle w:val="Normal"/>
        <w:tabs>
          <w:tab w:val="clear" w:pos="720"/>
          <w:tab w:val="left" w:pos="9356" w:leader="none"/>
        </w:tabs>
        <w:spacing w:before="6" w:after="0"/>
        <w:ind w:right="-38" w:hanging="0"/>
        <w:jc w:val="both"/>
        <w:rPr>
          <w:rFonts w:ascii="Verdana" w:hAnsi="Verdana" w:eastAsia="Verdana" w:cs="Verdana"/>
          <w:sz w:val="18"/>
          <w:szCs w:val="18"/>
        </w:rPr>
      </w:pPr>
      <w:r>
        <w:rPr>
          <w:rFonts w:eastAsia="Verdana" w:cs="Verdana" w:ascii="Verdana" w:hAnsi="Verdana"/>
          <w:sz w:val="18"/>
          <w:szCs w:val="18"/>
        </w:rPr>
      </w:r>
    </w:p>
    <w:p>
      <w:pPr>
        <w:pStyle w:val="Normal"/>
        <w:tabs>
          <w:tab w:val="clear" w:pos="720"/>
          <w:tab w:val="left" w:pos="9356" w:leader="none"/>
        </w:tabs>
        <w:spacing w:before="6" w:after="0"/>
        <w:ind w:left="284" w:right="-38" w:hanging="0"/>
        <w:jc w:val="both"/>
        <w:rPr>
          <w:rFonts w:ascii="Verdana" w:hAnsi="Verdana" w:eastAsia="Verdana" w:cs="Verdana"/>
          <w:sz w:val="18"/>
          <w:szCs w:val="18"/>
        </w:rPr>
      </w:pPr>
      <w:r>
        <w:rPr>
          <w:rFonts w:eastAsia="Verdana" w:cs="Verdana" w:ascii="Verdana" w:hAnsi="Verdana"/>
          <w:b/>
          <w:sz w:val="18"/>
          <w:szCs w:val="18"/>
        </w:rPr>
        <w:t>9.3.1 -</w:t>
      </w:r>
      <w:r>
        <w:rPr>
          <w:rFonts w:eastAsia="Verdana" w:cs="Verdana" w:ascii="Verdana" w:hAnsi="Verdana"/>
          <w:sz w:val="18"/>
          <w:szCs w:val="18"/>
        </w:rPr>
        <w:t xml:space="preserve"> Entende-se por empate aquelas situações em que as propostas apresentadas pelas microempresas e empresas de pequeno porte sejam até 5% (cinco por cento) superiores à proposta de melhor preço.</w:t>
      </w:r>
    </w:p>
    <w:p>
      <w:pPr>
        <w:pStyle w:val="Normal"/>
        <w:tabs>
          <w:tab w:val="clear" w:pos="720"/>
          <w:tab w:val="left" w:pos="9356" w:leader="none"/>
        </w:tabs>
        <w:spacing w:before="6" w:after="0"/>
        <w:ind w:right="-38" w:hanging="0"/>
        <w:jc w:val="both"/>
        <w:rPr>
          <w:rFonts w:ascii="Verdana" w:hAnsi="Verdana" w:eastAsia="Verdana" w:cs="Verdana"/>
          <w:sz w:val="18"/>
          <w:szCs w:val="18"/>
        </w:rPr>
      </w:pPr>
      <w:r>
        <w:rPr>
          <w:rFonts w:eastAsia="Verdana" w:cs="Verdana" w:ascii="Verdana" w:hAnsi="Verdana"/>
          <w:sz w:val="18"/>
          <w:szCs w:val="18"/>
        </w:rPr>
      </w:r>
    </w:p>
    <w:p>
      <w:pPr>
        <w:pStyle w:val="Normal"/>
        <w:tabs>
          <w:tab w:val="clear" w:pos="720"/>
          <w:tab w:val="left" w:pos="9356" w:leader="none"/>
        </w:tabs>
        <w:spacing w:before="6" w:after="0"/>
        <w:ind w:right="-38" w:hanging="0"/>
        <w:jc w:val="both"/>
        <w:rPr>
          <w:rFonts w:ascii="Verdana" w:hAnsi="Verdana" w:eastAsia="Verdana" w:cs="Verdana"/>
          <w:sz w:val="18"/>
          <w:szCs w:val="18"/>
        </w:rPr>
      </w:pPr>
      <w:r>
        <w:rPr>
          <w:rFonts w:eastAsia="Verdana" w:cs="Verdana" w:ascii="Verdana" w:hAnsi="Verdana"/>
          <w:b/>
          <w:sz w:val="18"/>
          <w:szCs w:val="18"/>
        </w:rPr>
        <w:t>9.4 -</w:t>
      </w:r>
      <w:r>
        <w:rPr>
          <w:rFonts w:eastAsia="Verdana" w:cs="Verdana" w:ascii="Verdana" w:hAnsi="Verdana"/>
          <w:sz w:val="18"/>
          <w:szCs w:val="18"/>
        </w:rPr>
        <w:t xml:space="preserve"> Para efeito do disposto no art. 50 da Lei Complementar Estadual nº. 618/2012, ocorrendo o empate, proceder-se-á da seguinte forma:</w:t>
      </w:r>
    </w:p>
    <w:p>
      <w:pPr>
        <w:pStyle w:val="Normal"/>
        <w:tabs>
          <w:tab w:val="clear" w:pos="720"/>
          <w:tab w:val="left" w:pos="9356" w:leader="none"/>
        </w:tabs>
        <w:spacing w:before="6" w:after="0"/>
        <w:ind w:right="-38" w:hanging="0"/>
        <w:jc w:val="both"/>
        <w:rPr>
          <w:rFonts w:ascii="Verdana" w:hAnsi="Verdana" w:eastAsia="Verdana" w:cs="Verdana"/>
          <w:sz w:val="18"/>
          <w:szCs w:val="18"/>
        </w:rPr>
      </w:pPr>
      <w:r>
        <w:rPr>
          <w:rFonts w:eastAsia="Verdana" w:cs="Verdana" w:ascii="Verdana" w:hAnsi="Verdana"/>
          <w:sz w:val="18"/>
          <w:szCs w:val="18"/>
        </w:rPr>
      </w:r>
    </w:p>
    <w:p>
      <w:pPr>
        <w:pStyle w:val="Normal"/>
        <w:tabs>
          <w:tab w:val="clear" w:pos="720"/>
          <w:tab w:val="left" w:pos="9356" w:leader="none"/>
        </w:tabs>
        <w:spacing w:before="6" w:after="0"/>
        <w:ind w:left="284" w:right="-38" w:hanging="0"/>
        <w:jc w:val="both"/>
        <w:rPr>
          <w:rFonts w:ascii="Verdana" w:hAnsi="Verdana" w:eastAsia="Verdana" w:cs="Verdana"/>
          <w:sz w:val="18"/>
          <w:szCs w:val="18"/>
        </w:rPr>
      </w:pPr>
      <w:r>
        <w:rPr>
          <w:rFonts w:eastAsia="Verdana" w:cs="Verdana" w:ascii="Verdana" w:hAnsi="Verdana"/>
          <w:b/>
          <w:sz w:val="18"/>
          <w:szCs w:val="18"/>
        </w:rPr>
        <w:t xml:space="preserve">9.4.1 - </w:t>
      </w:r>
      <w:r>
        <w:rPr>
          <w:rFonts w:eastAsia="Verdana" w:cs="Verdana" w:ascii="Verdana" w:hAnsi="Verdana"/>
          <w:sz w:val="18"/>
          <w:szCs w:val="18"/>
        </w:rPr>
        <w:t>A microempresa, empresa de pequeno porte, microempreendedor individual ou equiparado mais bem classificada poderá apresentar proposta de preço inferior àquela considerada vencedora do certame, situação em que será adjudicado em seu favor o objeto licitado.</w:t>
      </w:r>
    </w:p>
    <w:p>
      <w:pPr>
        <w:pStyle w:val="Normal"/>
        <w:tabs>
          <w:tab w:val="clear" w:pos="720"/>
          <w:tab w:val="left" w:pos="9356" w:leader="none"/>
        </w:tabs>
        <w:spacing w:before="6" w:after="0"/>
        <w:ind w:left="284" w:right="-38" w:hanging="0"/>
        <w:jc w:val="both"/>
        <w:rPr>
          <w:rFonts w:ascii="Verdana" w:hAnsi="Verdana" w:eastAsia="Verdana" w:cs="Verdana"/>
          <w:sz w:val="18"/>
          <w:szCs w:val="18"/>
        </w:rPr>
      </w:pPr>
      <w:r>
        <w:rPr>
          <w:rFonts w:eastAsia="Verdana" w:cs="Verdana" w:ascii="Verdana" w:hAnsi="Verdana"/>
          <w:sz w:val="18"/>
          <w:szCs w:val="18"/>
        </w:rPr>
      </w:r>
    </w:p>
    <w:p>
      <w:pPr>
        <w:pStyle w:val="Normal"/>
        <w:tabs>
          <w:tab w:val="clear" w:pos="720"/>
          <w:tab w:val="left" w:pos="9356" w:leader="none"/>
        </w:tabs>
        <w:spacing w:before="6" w:after="0"/>
        <w:ind w:left="284" w:right="-38" w:hanging="0"/>
        <w:jc w:val="both"/>
        <w:rPr>
          <w:rFonts w:ascii="Verdana" w:hAnsi="Verdana" w:eastAsia="Verdana" w:cs="Verdana"/>
          <w:sz w:val="18"/>
          <w:szCs w:val="18"/>
        </w:rPr>
      </w:pPr>
      <w:r>
        <w:rPr>
          <w:rFonts w:eastAsia="Verdana" w:cs="Verdana" w:ascii="Verdana" w:hAnsi="Verdana"/>
          <w:b/>
          <w:sz w:val="18"/>
          <w:szCs w:val="18"/>
        </w:rPr>
        <w:t>9.4.2 -</w:t>
      </w:r>
      <w:r>
        <w:rPr>
          <w:rFonts w:eastAsia="Verdana" w:cs="Verdana" w:ascii="Verdana" w:hAnsi="Verdana"/>
          <w:sz w:val="18"/>
          <w:szCs w:val="18"/>
        </w:rPr>
        <w:t xml:space="preserve"> Não ocorrendo a contratação da microempresa, empresa de pequeno porte, microempreendedor individual ou equiparado, na forma do item anterior, serão convocadas as remanescentes que porventura se enquadrem na hipótese do item 9.3.1, na ordem classificatória, para o exercício do mesmo direito.</w:t>
      </w:r>
    </w:p>
    <w:p>
      <w:pPr>
        <w:pStyle w:val="Normal"/>
        <w:tabs>
          <w:tab w:val="clear" w:pos="720"/>
          <w:tab w:val="left" w:pos="9356" w:leader="none"/>
        </w:tabs>
        <w:spacing w:before="6" w:after="0"/>
        <w:ind w:right="-38" w:hanging="0"/>
        <w:jc w:val="both"/>
        <w:rPr>
          <w:rFonts w:ascii="Verdana" w:hAnsi="Verdana" w:eastAsia="Verdana" w:cs="Verdana"/>
          <w:sz w:val="18"/>
          <w:szCs w:val="18"/>
        </w:rPr>
      </w:pPr>
      <w:r>
        <w:rPr>
          <w:rFonts w:eastAsia="Verdana" w:cs="Verdana" w:ascii="Verdana" w:hAnsi="Verdana"/>
          <w:sz w:val="18"/>
          <w:szCs w:val="18"/>
        </w:rPr>
      </w:r>
    </w:p>
    <w:p>
      <w:pPr>
        <w:pStyle w:val="Normal"/>
        <w:tabs>
          <w:tab w:val="clear" w:pos="720"/>
          <w:tab w:val="left" w:pos="9356" w:leader="none"/>
        </w:tabs>
        <w:spacing w:before="6" w:after="0"/>
        <w:ind w:right="-38" w:hanging="0"/>
        <w:jc w:val="both"/>
        <w:rPr>
          <w:rFonts w:ascii="Verdana" w:hAnsi="Verdana" w:eastAsia="Verdana" w:cs="Verdana"/>
          <w:sz w:val="18"/>
          <w:szCs w:val="18"/>
        </w:rPr>
      </w:pPr>
      <w:r>
        <w:rPr>
          <w:rFonts w:eastAsia="Verdana" w:cs="Verdana" w:ascii="Verdana" w:hAnsi="Verdana"/>
          <w:b/>
          <w:sz w:val="18"/>
          <w:szCs w:val="18"/>
        </w:rPr>
        <w:t>9.5 -</w:t>
      </w:r>
      <w:r>
        <w:rPr>
          <w:rFonts w:eastAsia="Verdana" w:cs="Verdana" w:ascii="Verdana" w:hAnsi="Verdana"/>
          <w:sz w:val="18"/>
          <w:szCs w:val="18"/>
        </w:rPr>
        <w:t xml:space="preserve"> Na hipótese da não-contratação nos termos previstos no item 9.4, o objeto licitado será adjudicado em favor da proposta originalmente vencedora do certame.</w:t>
      </w:r>
    </w:p>
    <w:p>
      <w:pPr>
        <w:pStyle w:val="Normal"/>
        <w:tabs>
          <w:tab w:val="clear" w:pos="720"/>
          <w:tab w:val="left" w:pos="9356" w:leader="none"/>
        </w:tabs>
        <w:spacing w:before="6" w:after="0"/>
        <w:ind w:right="-38" w:hanging="0"/>
        <w:jc w:val="both"/>
        <w:rPr>
          <w:rFonts w:ascii="Verdana" w:hAnsi="Verdana" w:eastAsia="Verdana" w:cs="Verdana"/>
          <w:sz w:val="18"/>
          <w:szCs w:val="18"/>
        </w:rPr>
      </w:pPr>
      <w:r>
        <w:rPr>
          <w:rFonts w:eastAsia="Verdana" w:cs="Verdana" w:ascii="Verdana" w:hAnsi="Verdana"/>
          <w:sz w:val="18"/>
          <w:szCs w:val="18"/>
        </w:rPr>
      </w:r>
    </w:p>
    <w:p>
      <w:pPr>
        <w:pStyle w:val="Normal"/>
        <w:tabs>
          <w:tab w:val="clear" w:pos="720"/>
          <w:tab w:val="left" w:pos="9356" w:leader="none"/>
        </w:tabs>
        <w:spacing w:before="6" w:after="0"/>
        <w:ind w:right="-38" w:hanging="0"/>
        <w:jc w:val="both"/>
        <w:rPr>
          <w:rFonts w:ascii="Verdana" w:hAnsi="Verdana" w:eastAsia="Verdana" w:cs="Verdana"/>
          <w:sz w:val="18"/>
          <w:szCs w:val="18"/>
        </w:rPr>
      </w:pPr>
      <w:r>
        <w:rPr>
          <w:rFonts w:eastAsia="Verdana" w:cs="Verdana" w:ascii="Verdana" w:hAnsi="Verdana"/>
          <w:b/>
          <w:sz w:val="18"/>
          <w:szCs w:val="18"/>
        </w:rPr>
        <w:t>9.6 -</w:t>
      </w:r>
      <w:r>
        <w:rPr>
          <w:rFonts w:eastAsia="Verdana" w:cs="Verdana" w:ascii="Verdana" w:hAnsi="Verdana"/>
          <w:sz w:val="18"/>
          <w:szCs w:val="18"/>
        </w:rPr>
        <w:t xml:space="preserve"> O disposto no item 9.4 somente se aplicará quando a melhor oferta inicial não tiver sido apresentada por microempresa ou empresa de pequeno porte.</w:t>
      </w:r>
    </w:p>
    <w:p>
      <w:pPr>
        <w:pStyle w:val="Normal"/>
        <w:tabs>
          <w:tab w:val="clear" w:pos="720"/>
          <w:tab w:val="left" w:pos="9356" w:leader="none"/>
        </w:tabs>
        <w:spacing w:before="6" w:after="0"/>
        <w:ind w:right="-38" w:hanging="0"/>
        <w:rPr>
          <w:rFonts w:ascii="Verdana" w:hAnsi="Verdana" w:eastAsia="Verdana" w:cs="Verdana"/>
          <w:sz w:val="18"/>
          <w:szCs w:val="18"/>
        </w:rPr>
      </w:pPr>
      <w:r>
        <w:rPr>
          <w:rFonts w:eastAsia="Verdana" w:cs="Verdana" w:ascii="Verdana" w:hAnsi="Verdana"/>
          <w:sz w:val="18"/>
          <w:szCs w:val="18"/>
        </w:rPr>
      </w:r>
    </w:p>
    <w:p>
      <w:pPr>
        <w:pStyle w:val="Normal"/>
        <w:shd w:val="clear" w:color="auto" w:fill="C0C0C0"/>
        <w:tabs>
          <w:tab w:val="clear" w:pos="720"/>
          <w:tab w:val="left" w:pos="1134" w:leader="none"/>
          <w:tab w:val="left" w:pos="2268" w:leader="none"/>
          <w:tab w:val="left" w:pos="3402" w:leader="none"/>
          <w:tab w:val="left" w:pos="4536" w:leader="none"/>
          <w:tab w:val="left" w:pos="5670" w:leader="none"/>
          <w:tab w:val="left" w:pos="6804" w:leader="none"/>
          <w:tab w:val="left" w:pos="7938" w:leader="none"/>
          <w:tab w:val="left" w:pos="9072" w:leader="none"/>
          <w:tab w:val="left" w:pos="10206" w:leader="none"/>
          <w:tab w:val="left" w:pos="11340" w:leader="none"/>
        </w:tabs>
        <w:jc w:val="both"/>
        <w:rPr>
          <w:rFonts w:ascii="Verdana" w:hAnsi="Verdana" w:eastAsia="Verdana" w:cs="Verdana"/>
          <w:b/>
          <w:b/>
          <w:sz w:val="18"/>
          <w:szCs w:val="18"/>
        </w:rPr>
      </w:pPr>
      <w:r>
        <w:rPr>
          <w:rFonts w:eastAsia="Verdana" w:cs="Verdana" w:ascii="Verdana" w:hAnsi="Verdana"/>
          <w:b/>
          <w:sz w:val="18"/>
          <w:szCs w:val="18"/>
        </w:rPr>
        <w:t>10 - DOS CRITÉRIOS DE JULGAMENTO</w:t>
      </w:r>
    </w:p>
    <w:p>
      <w:pPr>
        <w:pStyle w:val="Normal"/>
        <w:tabs>
          <w:tab w:val="clear" w:pos="720"/>
          <w:tab w:val="left" w:pos="1134" w:leader="none"/>
          <w:tab w:val="left" w:pos="2268" w:leader="none"/>
          <w:tab w:val="left" w:pos="3402" w:leader="none"/>
          <w:tab w:val="left" w:pos="4536" w:leader="none"/>
          <w:tab w:val="left" w:pos="5670" w:leader="none"/>
          <w:tab w:val="left" w:pos="6804" w:leader="none"/>
          <w:tab w:val="left" w:pos="7938" w:leader="none"/>
          <w:tab w:val="left" w:pos="9072" w:leader="none"/>
          <w:tab w:val="left" w:pos="10206" w:leader="none"/>
          <w:tab w:val="left" w:pos="11340" w:leader="none"/>
        </w:tabs>
        <w:jc w:val="both"/>
        <w:rPr>
          <w:rFonts w:ascii="Verdana" w:hAnsi="Verdana" w:eastAsia="Verdana" w:cs="Verdana"/>
          <w:b/>
          <w:b/>
          <w:sz w:val="18"/>
          <w:szCs w:val="18"/>
        </w:rPr>
      </w:pPr>
      <w:r>
        <w:rPr>
          <w:rFonts w:eastAsia="Verdana" w:cs="Verdana" w:ascii="Verdana" w:hAnsi="Verdana"/>
          <w:b/>
          <w:sz w:val="18"/>
          <w:szCs w:val="18"/>
        </w:rPr>
      </w:r>
    </w:p>
    <w:p>
      <w:pPr>
        <w:pStyle w:val="Normal"/>
        <w:tabs>
          <w:tab w:val="clear" w:pos="720"/>
          <w:tab w:val="left" w:pos="1134" w:leader="none"/>
          <w:tab w:val="left" w:pos="2268" w:leader="none"/>
          <w:tab w:val="left" w:pos="3402" w:leader="none"/>
          <w:tab w:val="left" w:pos="4536" w:leader="none"/>
          <w:tab w:val="left" w:pos="5670" w:leader="none"/>
          <w:tab w:val="left" w:pos="6804" w:leader="none"/>
          <w:tab w:val="left" w:pos="7938" w:leader="none"/>
          <w:tab w:val="left" w:pos="9072" w:leader="none"/>
          <w:tab w:val="left" w:pos="10206" w:leader="none"/>
          <w:tab w:val="left" w:pos="11340" w:leader="none"/>
        </w:tabs>
        <w:jc w:val="both"/>
        <w:rPr>
          <w:rFonts w:ascii="Verdana" w:hAnsi="Verdana" w:eastAsia="Verdana" w:cs="Verdana"/>
          <w:sz w:val="18"/>
          <w:szCs w:val="18"/>
        </w:rPr>
      </w:pPr>
      <w:r>
        <w:rPr>
          <w:rFonts w:eastAsia="Verdana" w:cs="Verdana" w:ascii="Verdana" w:hAnsi="Verdana"/>
          <w:b/>
          <w:sz w:val="18"/>
          <w:szCs w:val="18"/>
        </w:rPr>
        <w:t xml:space="preserve">10.1 - </w:t>
      </w:r>
      <w:r>
        <w:rPr>
          <w:rFonts w:eastAsia="Verdana" w:cs="Verdana" w:ascii="Verdana" w:hAnsi="Verdana"/>
          <w:sz w:val="18"/>
          <w:szCs w:val="18"/>
        </w:rPr>
        <w:t>No julgamento das propostas, será considerada vencedora a de menor valor total do Lote, desde que atendidas as especificações constantes deste Edital.</w:t>
      </w:r>
    </w:p>
    <w:p>
      <w:pPr>
        <w:pStyle w:val="Normal"/>
        <w:tabs>
          <w:tab w:val="clear" w:pos="720"/>
          <w:tab w:val="left" w:pos="1134" w:leader="none"/>
          <w:tab w:val="left" w:pos="2268" w:leader="none"/>
          <w:tab w:val="left" w:pos="3402" w:leader="none"/>
          <w:tab w:val="left" w:pos="4536" w:leader="none"/>
          <w:tab w:val="left" w:pos="5670" w:leader="none"/>
          <w:tab w:val="left" w:pos="6804" w:leader="none"/>
          <w:tab w:val="left" w:pos="7938" w:leader="none"/>
          <w:tab w:val="left" w:pos="9072" w:leader="none"/>
          <w:tab w:val="left" w:pos="10206" w:leader="none"/>
          <w:tab w:val="left" w:pos="11340" w:leader="none"/>
        </w:tabs>
        <w:jc w:val="both"/>
        <w:rPr>
          <w:rFonts w:ascii="Verdana" w:hAnsi="Verdana" w:eastAsia="Verdana" w:cs="Verdana"/>
          <w:sz w:val="18"/>
          <w:szCs w:val="18"/>
        </w:rPr>
      </w:pPr>
      <w:r>
        <w:rPr>
          <w:rFonts w:eastAsia="Verdana" w:cs="Verdana" w:ascii="Verdana" w:hAnsi="Verdana"/>
          <w:sz w:val="18"/>
          <w:szCs w:val="18"/>
        </w:rPr>
      </w:r>
    </w:p>
    <w:p>
      <w:pPr>
        <w:pStyle w:val="Normal"/>
        <w:tabs>
          <w:tab w:val="clear" w:pos="720"/>
          <w:tab w:val="left" w:pos="1134" w:leader="none"/>
          <w:tab w:val="left" w:pos="2268" w:leader="none"/>
          <w:tab w:val="left" w:pos="3402" w:leader="none"/>
          <w:tab w:val="left" w:pos="4536" w:leader="none"/>
          <w:tab w:val="left" w:pos="5670" w:leader="none"/>
          <w:tab w:val="left" w:pos="6804" w:leader="none"/>
          <w:tab w:val="left" w:pos="7938" w:leader="none"/>
          <w:tab w:val="left" w:pos="9072" w:leader="none"/>
          <w:tab w:val="left" w:pos="10206" w:leader="none"/>
          <w:tab w:val="left" w:pos="11340" w:leader="none"/>
        </w:tabs>
        <w:jc w:val="both"/>
        <w:rPr>
          <w:rFonts w:ascii="Verdana" w:hAnsi="Verdana" w:eastAsia="Verdana" w:cs="Verdana"/>
          <w:sz w:val="18"/>
          <w:szCs w:val="18"/>
        </w:rPr>
      </w:pPr>
      <w:r>
        <w:rPr>
          <w:rFonts w:eastAsia="Verdana" w:cs="Verdana" w:ascii="Verdana" w:hAnsi="Verdana"/>
          <w:b/>
          <w:sz w:val="18"/>
          <w:szCs w:val="18"/>
        </w:rPr>
        <w:t xml:space="preserve">10.2 - </w:t>
      </w:r>
      <w:r>
        <w:rPr>
          <w:rFonts w:eastAsia="Verdana" w:cs="Verdana" w:ascii="Verdana" w:hAnsi="Verdana"/>
          <w:sz w:val="18"/>
          <w:szCs w:val="18"/>
        </w:rPr>
        <w:t xml:space="preserve">O objeto deste PREGÃO será adjudicado por </w:t>
      </w:r>
      <w:r>
        <w:rPr>
          <w:rFonts w:eastAsia="Verdana" w:cs="Verdana" w:ascii="Verdana" w:hAnsi="Verdana"/>
          <w:b/>
          <w:sz w:val="18"/>
          <w:szCs w:val="18"/>
        </w:rPr>
        <w:t xml:space="preserve">LOTE </w:t>
      </w:r>
      <w:r>
        <w:rPr>
          <w:rFonts w:eastAsia="Verdana" w:cs="Verdana" w:ascii="Verdana" w:hAnsi="Verdana"/>
          <w:sz w:val="18"/>
          <w:szCs w:val="18"/>
        </w:rPr>
        <w:t>ao licitante cuja proposta seja considerada vencedora.</w:t>
      </w:r>
    </w:p>
    <w:p>
      <w:pPr>
        <w:pStyle w:val="Normal"/>
        <w:pBdr/>
        <w:jc w:val="both"/>
        <w:rPr>
          <w:rFonts w:ascii="Verdana" w:hAnsi="Verdana" w:eastAsia="Verdana" w:cs="Verdana"/>
          <w:sz w:val="18"/>
          <w:szCs w:val="18"/>
        </w:rPr>
      </w:pPr>
      <w:r>
        <w:rPr>
          <w:rFonts w:eastAsia="Verdana" w:cs="Verdana" w:ascii="Verdana" w:hAnsi="Verdana"/>
          <w:sz w:val="18"/>
          <w:szCs w:val="18"/>
        </w:rPr>
      </w:r>
    </w:p>
    <w:p>
      <w:pPr>
        <w:pStyle w:val="Normal"/>
        <w:shd w:val="clear" w:color="auto" w:fill="C0C0C0"/>
        <w:tabs>
          <w:tab w:val="clear" w:pos="720"/>
          <w:tab w:val="left" w:pos="1134" w:leader="none"/>
          <w:tab w:val="left" w:pos="2268" w:leader="none"/>
          <w:tab w:val="left" w:pos="3402" w:leader="none"/>
          <w:tab w:val="left" w:pos="4536" w:leader="none"/>
          <w:tab w:val="left" w:pos="5670" w:leader="none"/>
          <w:tab w:val="left" w:pos="6804" w:leader="none"/>
          <w:tab w:val="left" w:pos="7938" w:leader="none"/>
          <w:tab w:val="left" w:pos="9072" w:leader="none"/>
          <w:tab w:val="left" w:pos="10206" w:leader="none"/>
          <w:tab w:val="left" w:pos="11340" w:leader="none"/>
        </w:tabs>
        <w:jc w:val="both"/>
        <w:rPr>
          <w:rFonts w:ascii="Verdana" w:hAnsi="Verdana" w:eastAsia="Verdana" w:cs="Verdana"/>
          <w:b/>
          <w:b/>
          <w:strike/>
          <w:sz w:val="18"/>
          <w:szCs w:val="18"/>
        </w:rPr>
      </w:pPr>
      <w:r>
        <w:rPr>
          <w:rFonts w:eastAsia="Verdana" w:cs="Verdana" w:ascii="Verdana" w:hAnsi="Verdana"/>
          <w:b/>
          <w:sz w:val="18"/>
          <w:szCs w:val="18"/>
        </w:rPr>
        <w:t>11 - DAS INFRAÇÕES ADMINISTRATIVAS E SANÇÕES</w:t>
      </w:r>
    </w:p>
    <w:p>
      <w:pPr>
        <w:pStyle w:val="Normal"/>
        <w:tabs>
          <w:tab w:val="clear" w:pos="720"/>
          <w:tab w:val="left" w:pos="709" w:leader="none"/>
        </w:tabs>
        <w:jc w:val="both"/>
        <w:rPr>
          <w:rFonts w:ascii="Verdana" w:hAnsi="Verdana" w:eastAsia="Verdana" w:cs="Verdana"/>
          <w:b/>
          <w:b/>
          <w:sz w:val="18"/>
          <w:szCs w:val="18"/>
        </w:rPr>
      </w:pPr>
      <w:r>
        <w:rPr>
          <w:rFonts w:eastAsia="Verdana" w:cs="Verdana" w:ascii="Verdana" w:hAnsi="Verdana"/>
          <w:b/>
          <w:sz w:val="18"/>
          <w:szCs w:val="18"/>
        </w:rPr>
      </w:r>
    </w:p>
    <w:p>
      <w:pPr>
        <w:pStyle w:val="Normal"/>
        <w:tabs>
          <w:tab w:val="clear" w:pos="720"/>
          <w:tab w:val="left" w:pos="709" w:leader="none"/>
        </w:tabs>
        <w:jc w:val="both"/>
        <w:rPr>
          <w:rFonts w:ascii="Verdana" w:hAnsi="Verdana" w:eastAsia="Verdana" w:cs="Verdana"/>
          <w:sz w:val="18"/>
          <w:szCs w:val="18"/>
        </w:rPr>
      </w:pPr>
      <w:r>
        <w:rPr>
          <w:rFonts w:eastAsia="Verdana" w:cs="Verdana" w:ascii="Verdana" w:hAnsi="Verdana"/>
          <w:b/>
          <w:sz w:val="18"/>
          <w:szCs w:val="18"/>
        </w:rPr>
        <w:t xml:space="preserve">11.1 </w:t>
      </w:r>
      <w:r>
        <w:rPr>
          <w:rFonts w:eastAsia="Verdana" w:cs="Verdana" w:ascii="Verdana" w:hAnsi="Verdana"/>
          <w:sz w:val="18"/>
          <w:szCs w:val="18"/>
        </w:rPr>
        <w:t xml:space="preserve">- Comete infração administrativa, nos termos da Lei nº 14.133/21, o licitante que, com dolo ou culpa: </w:t>
      </w:r>
    </w:p>
    <w:p>
      <w:pPr>
        <w:pStyle w:val="Normal"/>
        <w:tabs>
          <w:tab w:val="clear" w:pos="720"/>
          <w:tab w:val="left" w:pos="709" w:leader="none"/>
        </w:tabs>
        <w:jc w:val="both"/>
        <w:rPr>
          <w:rFonts w:ascii="Verdana" w:hAnsi="Verdana" w:eastAsia="Verdana" w:cs="Verdana"/>
          <w:b/>
          <w:b/>
          <w:sz w:val="18"/>
          <w:szCs w:val="18"/>
        </w:rPr>
      </w:pPr>
      <w:r>
        <w:rPr>
          <w:rFonts w:eastAsia="Verdana" w:cs="Verdana" w:ascii="Verdana" w:hAnsi="Verdana"/>
          <w:b/>
          <w:sz w:val="18"/>
          <w:szCs w:val="18"/>
        </w:rPr>
      </w:r>
    </w:p>
    <w:p>
      <w:pPr>
        <w:pStyle w:val="Normal"/>
        <w:tabs>
          <w:tab w:val="clear" w:pos="720"/>
          <w:tab w:val="left" w:pos="709" w:leader="none"/>
        </w:tabs>
        <w:ind w:left="284" w:hanging="0"/>
        <w:jc w:val="both"/>
        <w:rPr>
          <w:rFonts w:ascii="Verdana" w:hAnsi="Verdana" w:eastAsia="Verdana" w:cs="Verdana"/>
          <w:sz w:val="18"/>
          <w:szCs w:val="18"/>
        </w:rPr>
      </w:pPr>
      <w:r>
        <w:rPr>
          <w:rFonts w:eastAsia="Verdana" w:cs="Verdana" w:ascii="Verdana" w:hAnsi="Verdana"/>
          <w:b/>
          <w:sz w:val="18"/>
          <w:szCs w:val="18"/>
        </w:rPr>
        <w:t xml:space="preserve">11.1.1 - </w:t>
      </w:r>
      <w:r>
        <w:rPr>
          <w:rFonts w:eastAsia="Verdana" w:cs="Verdana" w:ascii="Verdana" w:hAnsi="Verdana"/>
          <w:sz w:val="18"/>
          <w:szCs w:val="18"/>
        </w:rPr>
        <w:t>Deixar de entregar a documentação exigida para o certame ou não entregar qualquer documento que tenha sido solicitado pelo(a) Pregoeiro(a) durante o certame;</w:t>
      </w:r>
    </w:p>
    <w:p>
      <w:pPr>
        <w:pStyle w:val="Normal"/>
        <w:tabs>
          <w:tab w:val="clear" w:pos="720"/>
          <w:tab w:val="left" w:pos="709" w:leader="none"/>
        </w:tabs>
        <w:ind w:left="284" w:hanging="0"/>
        <w:jc w:val="both"/>
        <w:rPr>
          <w:rFonts w:ascii="Verdana" w:hAnsi="Verdana" w:eastAsia="Verdana" w:cs="Verdana"/>
          <w:b/>
          <w:b/>
          <w:sz w:val="18"/>
          <w:szCs w:val="18"/>
        </w:rPr>
      </w:pPr>
      <w:r>
        <w:rPr>
          <w:rFonts w:eastAsia="Verdana" w:cs="Verdana" w:ascii="Verdana" w:hAnsi="Verdana"/>
          <w:b/>
          <w:sz w:val="18"/>
          <w:szCs w:val="18"/>
        </w:rPr>
      </w:r>
    </w:p>
    <w:p>
      <w:pPr>
        <w:pStyle w:val="Normal"/>
        <w:tabs>
          <w:tab w:val="clear" w:pos="720"/>
          <w:tab w:val="left" w:pos="709" w:leader="none"/>
        </w:tabs>
        <w:ind w:left="284" w:hanging="0"/>
        <w:jc w:val="both"/>
        <w:rPr>
          <w:rFonts w:ascii="Verdana" w:hAnsi="Verdana" w:eastAsia="Verdana" w:cs="Verdana"/>
          <w:b/>
          <w:b/>
          <w:sz w:val="18"/>
          <w:szCs w:val="18"/>
        </w:rPr>
      </w:pPr>
      <w:r>
        <w:rPr>
          <w:rFonts w:eastAsia="Verdana" w:cs="Verdana" w:ascii="Verdana" w:hAnsi="Verdana"/>
          <w:b/>
          <w:sz w:val="18"/>
          <w:szCs w:val="18"/>
        </w:rPr>
        <w:t>11.1.2 -</w:t>
      </w:r>
      <w:r>
        <w:rPr>
          <w:rFonts w:eastAsia="Verdana" w:cs="Verdana" w:ascii="Verdana" w:hAnsi="Verdana"/>
          <w:sz w:val="18"/>
          <w:szCs w:val="18"/>
        </w:rPr>
        <w:t xml:space="preserve"> Salvo em decorrência de fato superveniente devidamente justificado, não mantiver a proposta.</w:t>
      </w:r>
    </w:p>
    <w:p>
      <w:pPr>
        <w:pStyle w:val="Normal"/>
        <w:tabs>
          <w:tab w:val="clear" w:pos="720"/>
          <w:tab w:val="left" w:pos="709" w:leader="none"/>
        </w:tabs>
        <w:ind w:left="284" w:hanging="0"/>
        <w:jc w:val="both"/>
        <w:rPr>
          <w:rFonts w:ascii="Verdana" w:hAnsi="Verdana" w:eastAsia="Verdana" w:cs="Verdana"/>
          <w:b/>
          <w:b/>
          <w:sz w:val="18"/>
          <w:szCs w:val="18"/>
        </w:rPr>
      </w:pPr>
      <w:r>
        <w:rPr>
          <w:rFonts w:eastAsia="Verdana" w:cs="Verdana" w:ascii="Verdana" w:hAnsi="Verdana"/>
          <w:b/>
          <w:sz w:val="18"/>
          <w:szCs w:val="18"/>
        </w:rPr>
      </w:r>
    </w:p>
    <w:p>
      <w:pPr>
        <w:pStyle w:val="Normal"/>
        <w:tabs>
          <w:tab w:val="clear" w:pos="720"/>
          <w:tab w:val="left" w:pos="709" w:leader="none"/>
        </w:tabs>
        <w:ind w:left="284" w:hanging="0"/>
        <w:jc w:val="both"/>
        <w:rPr>
          <w:rFonts w:ascii="Verdana" w:hAnsi="Verdana" w:eastAsia="Verdana" w:cs="Verdana"/>
          <w:sz w:val="18"/>
          <w:szCs w:val="18"/>
        </w:rPr>
      </w:pPr>
      <w:r>
        <w:rPr>
          <w:rFonts w:eastAsia="Verdana" w:cs="Verdana" w:ascii="Verdana" w:hAnsi="Verdana"/>
          <w:b/>
          <w:sz w:val="18"/>
          <w:szCs w:val="18"/>
        </w:rPr>
        <w:t xml:space="preserve">11.1.3 - </w:t>
      </w:r>
      <w:r>
        <w:rPr>
          <w:rFonts w:eastAsia="Verdana" w:cs="Verdana" w:ascii="Verdana" w:hAnsi="Verdana"/>
          <w:sz w:val="18"/>
          <w:szCs w:val="18"/>
        </w:rPr>
        <w:t>Não celebrar o contrato ou não entregar a documentação exigida para a contratação, quando convocado dentro do prazo de validade de sua proposta;</w:t>
      </w:r>
    </w:p>
    <w:p>
      <w:pPr>
        <w:pStyle w:val="Normal"/>
        <w:tabs>
          <w:tab w:val="clear" w:pos="720"/>
          <w:tab w:val="left" w:pos="709" w:leader="none"/>
        </w:tabs>
        <w:ind w:left="284" w:hanging="0"/>
        <w:jc w:val="both"/>
        <w:rPr>
          <w:rFonts w:ascii="Verdana" w:hAnsi="Verdana" w:eastAsia="Verdana" w:cs="Verdana"/>
          <w:b/>
          <w:b/>
          <w:sz w:val="18"/>
          <w:szCs w:val="18"/>
        </w:rPr>
      </w:pPr>
      <w:r>
        <w:rPr>
          <w:rFonts w:eastAsia="Verdana" w:cs="Verdana" w:ascii="Verdana" w:hAnsi="Verdana"/>
          <w:b/>
          <w:sz w:val="18"/>
          <w:szCs w:val="18"/>
        </w:rPr>
      </w:r>
    </w:p>
    <w:p>
      <w:pPr>
        <w:pStyle w:val="Normal"/>
        <w:tabs>
          <w:tab w:val="clear" w:pos="720"/>
          <w:tab w:val="left" w:pos="709" w:leader="none"/>
        </w:tabs>
        <w:ind w:left="567" w:hanging="0"/>
        <w:jc w:val="both"/>
        <w:rPr>
          <w:rFonts w:ascii="Verdana" w:hAnsi="Verdana" w:eastAsia="Verdana" w:cs="Verdana"/>
          <w:sz w:val="18"/>
          <w:szCs w:val="18"/>
        </w:rPr>
      </w:pPr>
      <w:r>
        <w:rPr>
          <w:rFonts w:eastAsia="Verdana" w:cs="Verdana" w:ascii="Verdana" w:hAnsi="Verdana"/>
          <w:b/>
          <w:sz w:val="18"/>
          <w:szCs w:val="18"/>
        </w:rPr>
        <w:t xml:space="preserve">11.1.3.1 - </w:t>
      </w:r>
      <w:r>
        <w:rPr>
          <w:rFonts w:eastAsia="Verdana" w:cs="Verdana" w:ascii="Verdana" w:hAnsi="Verdana"/>
          <w:sz w:val="18"/>
          <w:szCs w:val="18"/>
        </w:rPr>
        <w:t>Recusar-se, sem justificativa, a assinar o contrato ou a ata de registro de preço, ou a aceitar ou retirar o instrumento equivalente no prazo estabelecido pela Administração;</w:t>
      </w:r>
    </w:p>
    <w:p>
      <w:pPr>
        <w:pStyle w:val="Normal"/>
        <w:tabs>
          <w:tab w:val="clear" w:pos="720"/>
          <w:tab w:val="left" w:pos="709" w:leader="none"/>
        </w:tabs>
        <w:ind w:left="284" w:hanging="0"/>
        <w:jc w:val="both"/>
        <w:rPr>
          <w:rFonts w:ascii="Verdana" w:hAnsi="Verdana" w:eastAsia="Verdana" w:cs="Verdana"/>
          <w:b/>
          <w:b/>
          <w:sz w:val="18"/>
          <w:szCs w:val="18"/>
        </w:rPr>
      </w:pPr>
      <w:r>
        <w:rPr>
          <w:rFonts w:eastAsia="Verdana" w:cs="Verdana" w:ascii="Verdana" w:hAnsi="Verdana"/>
          <w:b/>
          <w:sz w:val="18"/>
          <w:szCs w:val="18"/>
        </w:rPr>
      </w:r>
    </w:p>
    <w:p>
      <w:pPr>
        <w:pStyle w:val="Normal"/>
        <w:tabs>
          <w:tab w:val="clear" w:pos="720"/>
          <w:tab w:val="left" w:pos="709" w:leader="none"/>
        </w:tabs>
        <w:ind w:left="284" w:hanging="0"/>
        <w:jc w:val="both"/>
        <w:rPr>
          <w:rFonts w:ascii="Verdana" w:hAnsi="Verdana" w:eastAsia="Verdana" w:cs="Verdana"/>
          <w:sz w:val="18"/>
          <w:szCs w:val="18"/>
        </w:rPr>
      </w:pPr>
      <w:r>
        <w:rPr>
          <w:rFonts w:eastAsia="Verdana" w:cs="Verdana" w:ascii="Verdana" w:hAnsi="Verdana"/>
          <w:b/>
          <w:sz w:val="18"/>
          <w:szCs w:val="18"/>
        </w:rPr>
        <w:t xml:space="preserve">11.1.4 - </w:t>
      </w:r>
      <w:r>
        <w:rPr>
          <w:rFonts w:eastAsia="Verdana" w:cs="Verdana" w:ascii="Verdana" w:hAnsi="Verdana"/>
          <w:sz w:val="18"/>
          <w:szCs w:val="18"/>
        </w:rPr>
        <w:t>Apresentar declaração ou documentação falsa exigida para o certame ou prestar declaração falsa durante a licitação;</w:t>
      </w:r>
    </w:p>
    <w:p>
      <w:pPr>
        <w:pStyle w:val="Normal"/>
        <w:tabs>
          <w:tab w:val="clear" w:pos="720"/>
          <w:tab w:val="left" w:pos="709" w:leader="none"/>
        </w:tabs>
        <w:ind w:left="284" w:hanging="0"/>
        <w:jc w:val="both"/>
        <w:rPr>
          <w:rFonts w:ascii="Verdana" w:hAnsi="Verdana" w:eastAsia="Verdana" w:cs="Verdana"/>
          <w:b/>
          <w:b/>
          <w:sz w:val="18"/>
          <w:szCs w:val="18"/>
        </w:rPr>
      </w:pPr>
      <w:r>
        <w:rPr>
          <w:rFonts w:eastAsia="Verdana" w:cs="Verdana" w:ascii="Verdana" w:hAnsi="Verdana"/>
          <w:b/>
          <w:sz w:val="18"/>
          <w:szCs w:val="18"/>
        </w:rPr>
      </w:r>
    </w:p>
    <w:p>
      <w:pPr>
        <w:pStyle w:val="Normal"/>
        <w:tabs>
          <w:tab w:val="clear" w:pos="720"/>
          <w:tab w:val="left" w:pos="709" w:leader="none"/>
        </w:tabs>
        <w:ind w:left="284" w:hanging="0"/>
        <w:jc w:val="both"/>
        <w:rPr>
          <w:rFonts w:ascii="Verdana" w:hAnsi="Verdana" w:eastAsia="Verdana" w:cs="Verdana"/>
          <w:sz w:val="18"/>
          <w:szCs w:val="18"/>
        </w:rPr>
      </w:pPr>
      <w:r>
        <w:rPr>
          <w:rFonts w:eastAsia="Verdana" w:cs="Verdana" w:ascii="Verdana" w:hAnsi="Verdana"/>
          <w:b/>
          <w:sz w:val="18"/>
          <w:szCs w:val="18"/>
        </w:rPr>
        <w:t xml:space="preserve">11.1.5 - </w:t>
      </w:r>
      <w:r>
        <w:rPr>
          <w:rFonts w:eastAsia="Verdana" w:cs="Verdana" w:ascii="Verdana" w:hAnsi="Verdana"/>
          <w:sz w:val="18"/>
          <w:szCs w:val="18"/>
        </w:rPr>
        <w:t>Fraudar a licitação;</w:t>
      </w:r>
    </w:p>
    <w:p>
      <w:pPr>
        <w:pStyle w:val="Normal"/>
        <w:tabs>
          <w:tab w:val="clear" w:pos="720"/>
          <w:tab w:val="left" w:pos="709" w:leader="none"/>
        </w:tabs>
        <w:ind w:left="284" w:hanging="0"/>
        <w:jc w:val="both"/>
        <w:rPr>
          <w:rFonts w:ascii="Verdana" w:hAnsi="Verdana" w:eastAsia="Verdana" w:cs="Verdana"/>
          <w:b/>
          <w:b/>
          <w:sz w:val="18"/>
          <w:szCs w:val="18"/>
        </w:rPr>
      </w:pPr>
      <w:r>
        <w:rPr>
          <w:rFonts w:eastAsia="Verdana" w:cs="Verdana" w:ascii="Verdana" w:hAnsi="Verdana"/>
          <w:b/>
          <w:sz w:val="18"/>
          <w:szCs w:val="18"/>
        </w:rPr>
      </w:r>
    </w:p>
    <w:p>
      <w:pPr>
        <w:pStyle w:val="Normal"/>
        <w:tabs>
          <w:tab w:val="clear" w:pos="720"/>
          <w:tab w:val="left" w:pos="709" w:leader="none"/>
        </w:tabs>
        <w:ind w:left="284" w:hanging="0"/>
        <w:jc w:val="both"/>
        <w:rPr>
          <w:rFonts w:ascii="Verdana" w:hAnsi="Verdana" w:eastAsia="Verdana" w:cs="Verdana"/>
          <w:sz w:val="18"/>
          <w:szCs w:val="18"/>
        </w:rPr>
      </w:pPr>
      <w:r>
        <w:rPr>
          <w:rFonts w:eastAsia="Verdana" w:cs="Verdana" w:ascii="Verdana" w:hAnsi="Verdana"/>
          <w:b/>
          <w:sz w:val="18"/>
          <w:szCs w:val="18"/>
        </w:rPr>
        <w:t xml:space="preserve">11.1.6 - </w:t>
      </w:r>
      <w:r>
        <w:rPr>
          <w:rFonts w:eastAsia="Verdana" w:cs="Verdana" w:ascii="Verdana" w:hAnsi="Verdana"/>
          <w:sz w:val="18"/>
          <w:szCs w:val="18"/>
        </w:rPr>
        <w:t>Comportar-se de modo inidôneo ou cometer fraude de qualquer natureza, em especial quando:</w:t>
      </w:r>
    </w:p>
    <w:p>
      <w:pPr>
        <w:pStyle w:val="Normal"/>
        <w:tabs>
          <w:tab w:val="clear" w:pos="720"/>
          <w:tab w:val="left" w:pos="709" w:leader="none"/>
        </w:tabs>
        <w:ind w:left="567" w:hanging="0"/>
        <w:jc w:val="both"/>
        <w:rPr>
          <w:rFonts w:ascii="Verdana" w:hAnsi="Verdana" w:eastAsia="Verdana" w:cs="Verdana"/>
          <w:b/>
          <w:b/>
          <w:sz w:val="18"/>
          <w:szCs w:val="18"/>
        </w:rPr>
      </w:pPr>
      <w:r>
        <w:rPr>
          <w:rFonts w:eastAsia="Verdana" w:cs="Verdana" w:ascii="Verdana" w:hAnsi="Verdana"/>
          <w:b/>
          <w:sz w:val="18"/>
          <w:szCs w:val="18"/>
        </w:rPr>
        <w:t xml:space="preserve">a) </w:t>
      </w:r>
      <w:r>
        <w:rPr>
          <w:rFonts w:eastAsia="Verdana" w:cs="Verdana" w:ascii="Verdana" w:hAnsi="Verdana"/>
          <w:sz w:val="18"/>
          <w:szCs w:val="18"/>
        </w:rPr>
        <w:t>Agir em conluio ou em desconformidade com a lei;</w:t>
      </w:r>
      <w:r>
        <w:rPr>
          <w:rFonts w:eastAsia="Verdana" w:cs="Verdana" w:ascii="Verdana" w:hAnsi="Verdana"/>
          <w:b/>
          <w:sz w:val="18"/>
          <w:szCs w:val="18"/>
        </w:rPr>
        <w:t xml:space="preserve"> </w:t>
      </w:r>
    </w:p>
    <w:p>
      <w:pPr>
        <w:pStyle w:val="Normal"/>
        <w:tabs>
          <w:tab w:val="clear" w:pos="720"/>
          <w:tab w:val="left" w:pos="709" w:leader="none"/>
        </w:tabs>
        <w:ind w:left="567" w:hanging="0"/>
        <w:jc w:val="both"/>
        <w:rPr>
          <w:rFonts w:ascii="Verdana" w:hAnsi="Verdana" w:eastAsia="Verdana" w:cs="Verdana"/>
          <w:b/>
          <w:b/>
          <w:sz w:val="18"/>
          <w:szCs w:val="18"/>
        </w:rPr>
      </w:pPr>
      <w:r>
        <w:rPr>
          <w:rFonts w:eastAsia="Verdana" w:cs="Verdana" w:ascii="Verdana" w:hAnsi="Verdana"/>
          <w:b/>
          <w:sz w:val="18"/>
          <w:szCs w:val="18"/>
        </w:rPr>
        <w:t xml:space="preserve">b) </w:t>
      </w:r>
      <w:r>
        <w:rPr>
          <w:rFonts w:eastAsia="Verdana" w:cs="Verdana" w:ascii="Verdana" w:hAnsi="Verdana"/>
          <w:sz w:val="18"/>
          <w:szCs w:val="18"/>
        </w:rPr>
        <w:t>Induzir deliberadamente a erro no julgamento;</w:t>
      </w:r>
      <w:r>
        <w:rPr>
          <w:rFonts w:eastAsia="Verdana" w:cs="Verdana" w:ascii="Verdana" w:hAnsi="Verdana"/>
          <w:b/>
          <w:sz w:val="18"/>
          <w:szCs w:val="18"/>
        </w:rPr>
        <w:t xml:space="preserve"> </w:t>
      </w:r>
    </w:p>
    <w:p>
      <w:pPr>
        <w:pStyle w:val="Normal"/>
        <w:tabs>
          <w:tab w:val="clear" w:pos="720"/>
          <w:tab w:val="left" w:pos="709" w:leader="none"/>
        </w:tabs>
        <w:ind w:left="567" w:hanging="0"/>
        <w:jc w:val="both"/>
        <w:rPr>
          <w:rFonts w:ascii="Verdana" w:hAnsi="Verdana" w:eastAsia="Verdana" w:cs="Verdana"/>
          <w:sz w:val="18"/>
          <w:szCs w:val="18"/>
        </w:rPr>
      </w:pPr>
      <w:r>
        <w:rPr>
          <w:rFonts w:eastAsia="Verdana" w:cs="Verdana" w:ascii="Verdana" w:hAnsi="Verdana"/>
          <w:b/>
          <w:sz w:val="18"/>
          <w:szCs w:val="18"/>
        </w:rPr>
        <w:t xml:space="preserve">c) </w:t>
      </w:r>
      <w:r>
        <w:rPr>
          <w:rFonts w:eastAsia="Verdana" w:cs="Verdana" w:ascii="Verdana" w:hAnsi="Verdana"/>
          <w:sz w:val="18"/>
          <w:szCs w:val="18"/>
        </w:rPr>
        <w:t xml:space="preserve">Apresentar amostra falsificada ou deteriorada; </w:t>
      </w:r>
    </w:p>
    <w:p>
      <w:pPr>
        <w:pStyle w:val="Normal"/>
        <w:tabs>
          <w:tab w:val="clear" w:pos="720"/>
          <w:tab w:val="left" w:pos="709" w:leader="none"/>
        </w:tabs>
        <w:ind w:left="284" w:hanging="0"/>
        <w:jc w:val="both"/>
        <w:rPr>
          <w:rFonts w:ascii="Verdana" w:hAnsi="Verdana" w:eastAsia="Verdana" w:cs="Verdana"/>
          <w:b/>
          <w:b/>
          <w:sz w:val="18"/>
          <w:szCs w:val="18"/>
        </w:rPr>
      </w:pPr>
      <w:r>
        <w:rPr>
          <w:rFonts w:eastAsia="Verdana" w:cs="Verdana" w:ascii="Verdana" w:hAnsi="Verdana"/>
          <w:b/>
          <w:sz w:val="18"/>
          <w:szCs w:val="18"/>
        </w:rPr>
      </w:r>
    </w:p>
    <w:p>
      <w:pPr>
        <w:pStyle w:val="Normal"/>
        <w:tabs>
          <w:tab w:val="clear" w:pos="720"/>
          <w:tab w:val="left" w:pos="709" w:leader="none"/>
        </w:tabs>
        <w:ind w:left="284" w:hanging="0"/>
        <w:jc w:val="both"/>
        <w:rPr>
          <w:rFonts w:ascii="Verdana" w:hAnsi="Verdana" w:eastAsia="Verdana" w:cs="Verdana"/>
          <w:sz w:val="18"/>
          <w:szCs w:val="18"/>
        </w:rPr>
      </w:pPr>
      <w:r>
        <w:rPr>
          <w:rFonts w:eastAsia="Verdana" w:cs="Verdana" w:ascii="Verdana" w:hAnsi="Verdana"/>
          <w:b/>
          <w:sz w:val="18"/>
          <w:szCs w:val="18"/>
        </w:rPr>
        <w:t xml:space="preserve">11.1.7 - </w:t>
      </w:r>
      <w:r>
        <w:rPr>
          <w:rFonts w:eastAsia="Verdana" w:cs="Verdana" w:ascii="Verdana" w:hAnsi="Verdana"/>
          <w:sz w:val="18"/>
          <w:szCs w:val="18"/>
        </w:rPr>
        <w:t>Praticar atos ilícitos com vistas a frustrar os objetivos da licitação;</w:t>
      </w:r>
    </w:p>
    <w:p>
      <w:pPr>
        <w:pStyle w:val="Normal"/>
        <w:tabs>
          <w:tab w:val="clear" w:pos="720"/>
          <w:tab w:val="left" w:pos="709" w:leader="none"/>
        </w:tabs>
        <w:ind w:left="284" w:hanging="0"/>
        <w:jc w:val="both"/>
        <w:rPr>
          <w:rFonts w:ascii="Verdana" w:hAnsi="Verdana" w:eastAsia="Verdana" w:cs="Verdana"/>
          <w:b/>
          <w:b/>
          <w:sz w:val="18"/>
          <w:szCs w:val="18"/>
        </w:rPr>
      </w:pPr>
      <w:r>
        <w:rPr>
          <w:rFonts w:eastAsia="Verdana" w:cs="Verdana" w:ascii="Verdana" w:hAnsi="Verdana"/>
          <w:b/>
          <w:sz w:val="18"/>
          <w:szCs w:val="18"/>
        </w:rPr>
      </w:r>
    </w:p>
    <w:p>
      <w:pPr>
        <w:pStyle w:val="Normal"/>
        <w:tabs>
          <w:tab w:val="clear" w:pos="720"/>
          <w:tab w:val="left" w:pos="709" w:leader="none"/>
        </w:tabs>
        <w:ind w:left="284" w:hanging="0"/>
        <w:jc w:val="both"/>
        <w:rPr>
          <w:rFonts w:ascii="Verdana" w:hAnsi="Verdana" w:eastAsia="Verdana" w:cs="Verdana"/>
          <w:sz w:val="18"/>
          <w:szCs w:val="18"/>
        </w:rPr>
      </w:pPr>
      <w:r>
        <w:rPr>
          <w:rFonts w:eastAsia="Verdana" w:cs="Verdana" w:ascii="Verdana" w:hAnsi="Verdana"/>
          <w:b/>
          <w:sz w:val="18"/>
          <w:szCs w:val="18"/>
        </w:rPr>
        <w:t xml:space="preserve">11.1.8 - </w:t>
      </w:r>
      <w:r>
        <w:rPr>
          <w:rFonts w:eastAsia="Verdana" w:cs="Verdana" w:ascii="Verdana" w:hAnsi="Verdana"/>
          <w:sz w:val="18"/>
          <w:szCs w:val="18"/>
        </w:rPr>
        <w:t>Praticar ato lesivo previsto no art. 5º da Lei n.º 12.846, de 2013.</w:t>
      </w:r>
    </w:p>
    <w:p>
      <w:pPr>
        <w:pStyle w:val="Normal"/>
        <w:tabs>
          <w:tab w:val="clear" w:pos="720"/>
          <w:tab w:val="left" w:pos="709" w:leader="none"/>
        </w:tabs>
        <w:ind w:left="284" w:hanging="0"/>
        <w:jc w:val="both"/>
        <w:rPr>
          <w:rFonts w:ascii="Verdana" w:hAnsi="Verdana" w:eastAsia="Verdana" w:cs="Verdana"/>
          <w:b/>
          <w:b/>
          <w:sz w:val="18"/>
          <w:szCs w:val="18"/>
        </w:rPr>
      </w:pPr>
      <w:r>
        <w:rPr>
          <w:rFonts w:eastAsia="Verdana" w:cs="Verdana" w:ascii="Verdana" w:hAnsi="Verdana"/>
          <w:b/>
          <w:sz w:val="18"/>
          <w:szCs w:val="18"/>
        </w:rPr>
      </w:r>
    </w:p>
    <w:p>
      <w:pPr>
        <w:pStyle w:val="Normal"/>
        <w:tabs>
          <w:tab w:val="clear" w:pos="720"/>
          <w:tab w:val="left" w:pos="709" w:leader="none"/>
        </w:tabs>
        <w:jc w:val="both"/>
        <w:rPr>
          <w:rFonts w:ascii="Verdana" w:hAnsi="Verdana" w:eastAsia="Verdana" w:cs="Verdana"/>
          <w:b/>
          <w:b/>
          <w:sz w:val="18"/>
          <w:szCs w:val="18"/>
        </w:rPr>
      </w:pPr>
      <w:r>
        <w:rPr>
          <w:rFonts w:eastAsia="Verdana" w:cs="Verdana" w:ascii="Verdana" w:hAnsi="Verdana"/>
          <w:b/>
          <w:sz w:val="18"/>
          <w:szCs w:val="18"/>
        </w:rPr>
        <w:t>11.2 -</w:t>
        <w:tab/>
      </w:r>
      <w:r>
        <w:rPr>
          <w:rFonts w:eastAsia="Verdana" w:cs="Verdana" w:ascii="Verdana" w:hAnsi="Verdana"/>
          <w:sz w:val="18"/>
          <w:szCs w:val="18"/>
        </w:rPr>
        <w:t>Com fulcro na Lei nº 14.133, de 2021, a Administração poderá, garantida a prévia defesa, aplicar aos licitantes e/ou adjudicatários as seguintes sanções, sem prejuízo das responsabilidades civil e criminal:</w:t>
      </w:r>
      <w:r>
        <w:rPr>
          <w:rFonts w:eastAsia="Verdana" w:cs="Verdana" w:ascii="Verdana" w:hAnsi="Verdana"/>
          <w:b/>
          <w:sz w:val="18"/>
          <w:szCs w:val="18"/>
        </w:rPr>
        <w:t xml:space="preserve"> </w:t>
      </w:r>
    </w:p>
    <w:p>
      <w:pPr>
        <w:pStyle w:val="Normal"/>
        <w:tabs>
          <w:tab w:val="clear" w:pos="720"/>
          <w:tab w:val="left" w:pos="709" w:leader="none"/>
        </w:tabs>
        <w:ind w:left="284" w:hanging="0"/>
        <w:jc w:val="both"/>
        <w:rPr>
          <w:rFonts w:ascii="Verdana" w:hAnsi="Verdana" w:eastAsia="Verdana" w:cs="Verdana"/>
          <w:b/>
          <w:b/>
          <w:sz w:val="18"/>
          <w:szCs w:val="18"/>
        </w:rPr>
      </w:pPr>
      <w:r>
        <w:rPr>
          <w:rFonts w:eastAsia="Verdana" w:cs="Verdana" w:ascii="Verdana" w:hAnsi="Verdana"/>
          <w:b/>
          <w:sz w:val="18"/>
          <w:szCs w:val="18"/>
        </w:rPr>
        <w:t xml:space="preserve">a) </w:t>
      </w:r>
      <w:r>
        <w:rPr>
          <w:rFonts w:eastAsia="Verdana" w:cs="Verdana" w:ascii="Verdana" w:hAnsi="Verdana"/>
          <w:sz w:val="18"/>
          <w:szCs w:val="18"/>
        </w:rPr>
        <w:t>Advertência;</w:t>
      </w:r>
      <w:r>
        <w:rPr>
          <w:rFonts w:eastAsia="Verdana" w:cs="Verdana" w:ascii="Verdana" w:hAnsi="Verdana"/>
          <w:b/>
          <w:sz w:val="18"/>
          <w:szCs w:val="18"/>
        </w:rPr>
        <w:t xml:space="preserve"> </w:t>
      </w:r>
    </w:p>
    <w:p>
      <w:pPr>
        <w:pStyle w:val="Normal"/>
        <w:tabs>
          <w:tab w:val="clear" w:pos="720"/>
          <w:tab w:val="left" w:pos="709" w:leader="none"/>
        </w:tabs>
        <w:ind w:left="284" w:hanging="0"/>
        <w:jc w:val="both"/>
        <w:rPr>
          <w:rFonts w:ascii="Verdana" w:hAnsi="Verdana" w:eastAsia="Verdana" w:cs="Verdana"/>
          <w:sz w:val="18"/>
          <w:szCs w:val="18"/>
        </w:rPr>
      </w:pPr>
      <w:r>
        <w:rPr>
          <w:rFonts w:eastAsia="Verdana" w:cs="Verdana" w:ascii="Verdana" w:hAnsi="Verdana"/>
          <w:b/>
          <w:sz w:val="18"/>
          <w:szCs w:val="18"/>
        </w:rPr>
        <w:t xml:space="preserve">b) </w:t>
      </w:r>
      <w:r>
        <w:rPr>
          <w:rFonts w:eastAsia="Verdana" w:cs="Verdana" w:ascii="Verdana" w:hAnsi="Verdana"/>
          <w:sz w:val="18"/>
          <w:szCs w:val="18"/>
        </w:rPr>
        <w:t>Multa (aplicada no percentual de 0,5% a 30% incidente sobre o valor da contratação);</w:t>
      </w:r>
    </w:p>
    <w:p>
      <w:pPr>
        <w:pStyle w:val="Normal"/>
        <w:tabs>
          <w:tab w:val="clear" w:pos="720"/>
          <w:tab w:val="left" w:pos="709" w:leader="none"/>
        </w:tabs>
        <w:ind w:left="284" w:hanging="0"/>
        <w:jc w:val="both"/>
        <w:rPr>
          <w:rFonts w:ascii="Verdana" w:hAnsi="Verdana" w:eastAsia="Verdana" w:cs="Verdana"/>
          <w:sz w:val="18"/>
          <w:szCs w:val="18"/>
        </w:rPr>
      </w:pPr>
      <w:r>
        <w:rPr>
          <w:rFonts w:eastAsia="Verdana" w:cs="Verdana" w:ascii="Verdana" w:hAnsi="Verdana"/>
          <w:b/>
          <w:sz w:val="18"/>
          <w:szCs w:val="18"/>
        </w:rPr>
        <w:t xml:space="preserve">c) </w:t>
      </w:r>
      <w:r>
        <w:rPr>
          <w:rFonts w:eastAsia="Verdana" w:cs="Verdana" w:ascii="Verdana" w:hAnsi="Verdana"/>
          <w:sz w:val="18"/>
          <w:szCs w:val="18"/>
        </w:rPr>
        <w:t>Impedimento de licitar e contratar; e</w:t>
      </w:r>
    </w:p>
    <w:p>
      <w:pPr>
        <w:pStyle w:val="Normal"/>
        <w:tabs>
          <w:tab w:val="clear" w:pos="720"/>
          <w:tab w:val="left" w:pos="709" w:leader="none"/>
        </w:tabs>
        <w:ind w:left="284" w:hanging="0"/>
        <w:jc w:val="both"/>
        <w:rPr>
          <w:rFonts w:ascii="Verdana" w:hAnsi="Verdana" w:eastAsia="Verdana" w:cs="Verdana"/>
          <w:sz w:val="18"/>
          <w:szCs w:val="18"/>
        </w:rPr>
      </w:pPr>
      <w:r>
        <w:rPr>
          <w:rFonts w:eastAsia="Verdana" w:cs="Verdana" w:ascii="Verdana" w:hAnsi="Verdana"/>
          <w:b/>
          <w:sz w:val="18"/>
          <w:szCs w:val="18"/>
        </w:rPr>
        <w:t xml:space="preserve">d) </w:t>
      </w:r>
      <w:r>
        <w:rPr>
          <w:rFonts w:eastAsia="Verdana" w:cs="Verdana" w:ascii="Verdana" w:hAnsi="Verdana"/>
          <w:sz w:val="18"/>
          <w:szCs w:val="18"/>
        </w:rPr>
        <w:t>Declaração de inidoneidade para licitar ou contratar, enquanto perdurarem os motivos determinantes da punição ou até que seja promovida sua reabilitação perante a própria autoridade que aplicou a penalidade.</w:t>
      </w:r>
    </w:p>
    <w:p>
      <w:pPr>
        <w:pStyle w:val="Normal"/>
        <w:tabs>
          <w:tab w:val="clear" w:pos="720"/>
          <w:tab w:val="left" w:pos="709" w:leader="none"/>
        </w:tabs>
        <w:jc w:val="both"/>
        <w:rPr>
          <w:rFonts w:ascii="Verdana" w:hAnsi="Verdana" w:eastAsia="Verdana" w:cs="Verdana"/>
          <w:sz w:val="18"/>
          <w:szCs w:val="18"/>
        </w:rPr>
      </w:pPr>
      <w:r>
        <w:rPr>
          <w:rFonts w:eastAsia="Verdana" w:cs="Verdana" w:ascii="Verdana" w:hAnsi="Verdana"/>
          <w:sz w:val="18"/>
          <w:szCs w:val="18"/>
        </w:rPr>
      </w:r>
    </w:p>
    <w:p>
      <w:pPr>
        <w:pStyle w:val="Normal"/>
        <w:tabs>
          <w:tab w:val="clear" w:pos="720"/>
          <w:tab w:val="left" w:pos="709" w:leader="none"/>
        </w:tabs>
        <w:jc w:val="both"/>
        <w:rPr>
          <w:rFonts w:ascii="Verdana" w:hAnsi="Verdana" w:eastAsia="Verdana" w:cs="Verdana"/>
          <w:sz w:val="18"/>
          <w:szCs w:val="18"/>
        </w:rPr>
      </w:pPr>
      <w:r>
        <w:rPr>
          <w:rFonts w:eastAsia="Verdana" w:cs="Verdana" w:ascii="Verdana" w:hAnsi="Verdana"/>
          <w:b/>
          <w:sz w:val="18"/>
          <w:szCs w:val="18"/>
        </w:rPr>
        <w:t xml:space="preserve">11.2.1 - </w:t>
      </w:r>
      <w:r>
        <w:rPr>
          <w:rFonts w:eastAsia="Verdana" w:cs="Verdana" w:ascii="Verdana" w:hAnsi="Verdana"/>
          <w:sz w:val="18"/>
          <w:szCs w:val="18"/>
        </w:rPr>
        <w:t>As sanções de advertência, impedimento de licitar e contratar e declaração de inidoneidade para licitar ou contratar poderão ser aplicadas, cumulativamente ou não, à penalidade de multa.</w:t>
      </w:r>
    </w:p>
    <w:p>
      <w:pPr>
        <w:pStyle w:val="Normal"/>
        <w:tabs>
          <w:tab w:val="clear" w:pos="720"/>
          <w:tab w:val="left" w:pos="709" w:leader="none"/>
        </w:tabs>
        <w:jc w:val="both"/>
        <w:rPr>
          <w:rFonts w:ascii="Verdana" w:hAnsi="Verdana" w:eastAsia="Verdana" w:cs="Verdana"/>
          <w:sz w:val="18"/>
          <w:szCs w:val="18"/>
        </w:rPr>
      </w:pPr>
      <w:r>
        <w:rPr>
          <w:rFonts w:eastAsia="Verdana" w:cs="Verdana" w:ascii="Verdana" w:hAnsi="Verdana"/>
          <w:sz w:val="18"/>
          <w:szCs w:val="18"/>
        </w:rPr>
      </w:r>
    </w:p>
    <w:p>
      <w:pPr>
        <w:pStyle w:val="Normal"/>
        <w:tabs>
          <w:tab w:val="clear" w:pos="720"/>
          <w:tab w:val="left" w:pos="709" w:leader="none"/>
        </w:tabs>
        <w:jc w:val="both"/>
        <w:rPr>
          <w:rFonts w:ascii="Verdana" w:hAnsi="Verdana" w:eastAsia="Verdana" w:cs="Verdana"/>
          <w:sz w:val="18"/>
          <w:szCs w:val="18"/>
        </w:rPr>
      </w:pPr>
      <w:r>
        <w:rPr>
          <w:rFonts w:eastAsia="Verdana" w:cs="Verdana" w:ascii="Verdana" w:hAnsi="Verdana"/>
          <w:b/>
          <w:sz w:val="18"/>
          <w:szCs w:val="18"/>
        </w:rPr>
        <w:t>11.3 -</w:t>
        <w:tab/>
      </w:r>
      <w:r>
        <w:rPr>
          <w:rFonts w:eastAsia="Verdana" w:cs="Verdana" w:ascii="Verdana" w:hAnsi="Verdana"/>
          <w:sz w:val="18"/>
          <w:szCs w:val="18"/>
        </w:rPr>
        <w:t>Na aplicação das sanções serão considerados:</w:t>
      </w:r>
    </w:p>
    <w:p>
      <w:pPr>
        <w:pStyle w:val="Normal"/>
        <w:tabs>
          <w:tab w:val="clear" w:pos="720"/>
          <w:tab w:val="left" w:pos="709" w:leader="none"/>
        </w:tabs>
        <w:ind w:left="284" w:hanging="0"/>
        <w:jc w:val="both"/>
        <w:rPr>
          <w:rFonts w:ascii="Verdana" w:hAnsi="Verdana" w:eastAsia="Verdana" w:cs="Verdana"/>
          <w:sz w:val="18"/>
          <w:szCs w:val="18"/>
        </w:rPr>
      </w:pPr>
      <w:r>
        <w:rPr>
          <w:rFonts w:eastAsia="Verdana" w:cs="Verdana" w:ascii="Verdana" w:hAnsi="Verdana"/>
          <w:b/>
          <w:sz w:val="18"/>
          <w:szCs w:val="18"/>
        </w:rPr>
        <w:t xml:space="preserve">a) </w:t>
      </w:r>
      <w:r>
        <w:rPr>
          <w:rFonts w:eastAsia="Verdana" w:cs="Verdana" w:ascii="Verdana" w:hAnsi="Verdana"/>
          <w:sz w:val="18"/>
          <w:szCs w:val="18"/>
        </w:rPr>
        <w:t>A natureza e a gravidade da infração cometida;</w:t>
      </w:r>
    </w:p>
    <w:p>
      <w:pPr>
        <w:pStyle w:val="Normal"/>
        <w:tabs>
          <w:tab w:val="clear" w:pos="720"/>
          <w:tab w:val="left" w:pos="709" w:leader="none"/>
        </w:tabs>
        <w:ind w:left="284" w:hanging="0"/>
        <w:jc w:val="both"/>
        <w:rPr>
          <w:rFonts w:ascii="Verdana" w:hAnsi="Verdana" w:eastAsia="Verdana" w:cs="Verdana"/>
          <w:sz w:val="18"/>
          <w:szCs w:val="18"/>
        </w:rPr>
      </w:pPr>
      <w:r>
        <w:rPr>
          <w:rFonts w:eastAsia="Verdana" w:cs="Verdana" w:ascii="Verdana" w:hAnsi="Verdana"/>
          <w:b/>
          <w:sz w:val="18"/>
          <w:szCs w:val="18"/>
        </w:rPr>
        <w:t xml:space="preserve">b) </w:t>
      </w:r>
      <w:r>
        <w:rPr>
          <w:rFonts w:eastAsia="Verdana" w:cs="Verdana" w:ascii="Verdana" w:hAnsi="Verdana"/>
          <w:sz w:val="18"/>
          <w:szCs w:val="18"/>
        </w:rPr>
        <w:t>As peculiaridades do caso concreto;</w:t>
      </w:r>
    </w:p>
    <w:p>
      <w:pPr>
        <w:pStyle w:val="Normal"/>
        <w:tabs>
          <w:tab w:val="clear" w:pos="720"/>
          <w:tab w:val="left" w:pos="709" w:leader="none"/>
        </w:tabs>
        <w:ind w:left="284" w:hanging="0"/>
        <w:jc w:val="both"/>
        <w:rPr>
          <w:rFonts w:ascii="Verdana" w:hAnsi="Verdana" w:eastAsia="Verdana" w:cs="Verdana"/>
          <w:sz w:val="18"/>
          <w:szCs w:val="18"/>
        </w:rPr>
      </w:pPr>
      <w:r>
        <w:rPr>
          <w:rFonts w:eastAsia="Verdana" w:cs="Verdana" w:ascii="Verdana" w:hAnsi="Verdana"/>
          <w:b/>
          <w:sz w:val="18"/>
          <w:szCs w:val="18"/>
        </w:rPr>
        <w:t xml:space="preserve">c) </w:t>
      </w:r>
      <w:r>
        <w:rPr>
          <w:rFonts w:eastAsia="Verdana" w:cs="Verdana" w:ascii="Verdana" w:hAnsi="Verdana"/>
          <w:sz w:val="18"/>
          <w:szCs w:val="18"/>
        </w:rPr>
        <w:t>As circunstâncias agravantes ou atenuantes;</w:t>
      </w:r>
    </w:p>
    <w:p>
      <w:pPr>
        <w:pStyle w:val="Normal"/>
        <w:tabs>
          <w:tab w:val="clear" w:pos="720"/>
          <w:tab w:val="left" w:pos="709" w:leader="none"/>
        </w:tabs>
        <w:ind w:left="284" w:hanging="0"/>
        <w:jc w:val="both"/>
        <w:rPr>
          <w:rFonts w:ascii="Verdana" w:hAnsi="Verdana" w:eastAsia="Verdana" w:cs="Verdana"/>
          <w:sz w:val="18"/>
          <w:szCs w:val="18"/>
        </w:rPr>
      </w:pPr>
      <w:r>
        <w:rPr>
          <w:rFonts w:eastAsia="Verdana" w:cs="Verdana" w:ascii="Verdana" w:hAnsi="Verdana"/>
          <w:b/>
          <w:sz w:val="18"/>
          <w:szCs w:val="18"/>
        </w:rPr>
        <w:t xml:space="preserve">d) </w:t>
      </w:r>
      <w:r>
        <w:rPr>
          <w:rFonts w:eastAsia="Verdana" w:cs="Verdana" w:ascii="Verdana" w:hAnsi="Verdana"/>
          <w:sz w:val="18"/>
          <w:szCs w:val="18"/>
        </w:rPr>
        <w:t>Os danos que dela provierem para a Administração Pública;</w:t>
      </w:r>
    </w:p>
    <w:p>
      <w:pPr>
        <w:pStyle w:val="Normal"/>
        <w:tabs>
          <w:tab w:val="clear" w:pos="720"/>
          <w:tab w:val="left" w:pos="709" w:leader="none"/>
        </w:tabs>
        <w:ind w:left="284" w:hanging="0"/>
        <w:jc w:val="both"/>
        <w:rPr>
          <w:rFonts w:ascii="Verdana" w:hAnsi="Verdana" w:eastAsia="Verdana" w:cs="Verdana"/>
          <w:sz w:val="18"/>
          <w:szCs w:val="18"/>
        </w:rPr>
      </w:pPr>
      <w:r>
        <w:rPr>
          <w:rFonts w:eastAsia="Verdana" w:cs="Verdana" w:ascii="Verdana" w:hAnsi="Verdana"/>
          <w:b/>
          <w:sz w:val="18"/>
          <w:szCs w:val="18"/>
        </w:rPr>
        <w:t xml:space="preserve">e) </w:t>
      </w:r>
      <w:r>
        <w:rPr>
          <w:rFonts w:eastAsia="Verdana" w:cs="Verdana" w:ascii="Verdana" w:hAnsi="Verdana"/>
          <w:sz w:val="18"/>
          <w:szCs w:val="18"/>
        </w:rPr>
        <w:t>A implantação ou o aperfeiçoamento de programa de integridade, conforme normas e orientações dos órgãos de controle.</w:t>
      </w:r>
    </w:p>
    <w:p>
      <w:pPr>
        <w:pStyle w:val="Normal"/>
        <w:tabs>
          <w:tab w:val="clear" w:pos="720"/>
          <w:tab w:val="left" w:pos="709" w:leader="none"/>
        </w:tabs>
        <w:jc w:val="both"/>
        <w:rPr>
          <w:rFonts w:ascii="Verdana" w:hAnsi="Verdana" w:eastAsia="Verdana" w:cs="Verdana"/>
          <w:b/>
          <w:b/>
          <w:sz w:val="18"/>
          <w:szCs w:val="18"/>
        </w:rPr>
      </w:pPr>
      <w:r>
        <w:rPr>
          <w:rFonts w:eastAsia="Verdana" w:cs="Verdana" w:ascii="Verdana" w:hAnsi="Verdana"/>
          <w:b/>
          <w:sz w:val="18"/>
          <w:szCs w:val="18"/>
        </w:rPr>
      </w:r>
    </w:p>
    <w:p>
      <w:pPr>
        <w:pStyle w:val="Normal"/>
        <w:tabs>
          <w:tab w:val="clear" w:pos="720"/>
          <w:tab w:val="left" w:pos="709" w:leader="none"/>
        </w:tabs>
        <w:jc w:val="both"/>
        <w:rPr>
          <w:rFonts w:ascii="Verdana" w:hAnsi="Verdana" w:eastAsia="Verdana" w:cs="Verdana"/>
          <w:sz w:val="18"/>
          <w:szCs w:val="18"/>
        </w:rPr>
      </w:pPr>
      <w:r>
        <w:rPr>
          <w:rFonts w:eastAsia="Verdana" w:cs="Verdana" w:ascii="Verdana" w:hAnsi="Verdana"/>
          <w:b/>
          <w:sz w:val="18"/>
          <w:szCs w:val="18"/>
        </w:rPr>
        <w:t>11.4 -</w:t>
        <w:tab/>
      </w:r>
      <w:r>
        <w:rPr>
          <w:rFonts w:eastAsia="Verdana" w:cs="Verdana" w:ascii="Verdana" w:hAnsi="Verdana"/>
          <w:sz w:val="18"/>
          <w:szCs w:val="18"/>
        </w:rPr>
        <w:t xml:space="preserve">A multa será recolhida em percentual de 0,5% a 30% incidente sobre o valor do contrato licitado. </w:t>
      </w:r>
    </w:p>
    <w:p>
      <w:pPr>
        <w:pStyle w:val="Normal"/>
        <w:tabs>
          <w:tab w:val="clear" w:pos="720"/>
          <w:tab w:val="left" w:pos="709" w:leader="none"/>
        </w:tabs>
        <w:jc w:val="both"/>
        <w:rPr>
          <w:rFonts w:ascii="Verdana" w:hAnsi="Verdana" w:eastAsia="Verdana" w:cs="Verdana"/>
          <w:b/>
          <w:b/>
          <w:sz w:val="18"/>
          <w:szCs w:val="18"/>
        </w:rPr>
      </w:pPr>
      <w:r>
        <w:rPr>
          <w:rFonts w:eastAsia="Verdana" w:cs="Verdana" w:ascii="Verdana" w:hAnsi="Verdana"/>
          <w:b/>
          <w:sz w:val="18"/>
          <w:szCs w:val="18"/>
        </w:rPr>
      </w:r>
    </w:p>
    <w:p>
      <w:pPr>
        <w:pStyle w:val="Normal"/>
        <w:tabs>
          <w:tab w:val="clear" w:pos="720"/>
          <w:tab w:val="left" w:pos="709" w:leader="none"/>
        </w:tabs>
        <w:ind w:left="284" w:hanging="0"/>
        <w:jc w:val="both"/>
        <w:rPr>
          <w:rFonts w:ascii="Verdana" w:hAnsi="Verdana" w:eastAsia="Verdana" w:cs="Verdana"/>
          <w:sz w:val="18"/>
          <w:szCs w:val="18"/>
        </w:rPr>
      </w:pPr>
      <w:r>
        <w:rPr>
          <w:rFonts w:eastAsia="Verdana" w:cs="Verdana" w:ascii="Verdana" w:hAnsi="Verdana"/>
          <w:b/>
          <w:sz w:val="18"/>
          <w:szCs w:val="18"/>
        </w:rPr>
        <w:t xml:space="preserve">11.4.1 - </w:t>
      </w:r>
      <w:r>
        <w:rPr>
          <w:rFonts w:eastAsia="Verdana" w:cs="Verdana" w:ascii="Verdana" w:hAnsi="Verdana"/>
          <w:sz w:val="18"/>
          <w:szCs w:val="18"/>
        </w:rPr>
        <w:t>Para as infrações previstas nos itens 11.1.1, 11.1.2 e 11.1.3, a multa será de 0,5% a 15% do valor do contrato licitado.</w:t>
      </w:r>
    </w:p>
    <w:p>
      <w:pPr>
        <w:pStyle w:val="Normal"/>
        <w:tabs>
          <w:tab w:val="clear" w:pos="720"/>
          <w:tab w:val="left" w:pos="709" w:leader="none"/>
        </w:tabs>
        <w:ind w:left="284" w:hanging="0"/>
        <w:jc w:val="both"/>
        <w:rPr>
          <w:rFonts w:ascii="Verdana" w:hAnsi="Verdana" w:eastAsia="Verdana" w:cs="Verdana"/>
          <w:b/>
          <w:b/>
          <w:sz w:val="18"/>
          <w:szCs w:val="18"/>
        </w:rPr>
      </w:pPr>
      <w:r>
        <w:rPr>
          <w:rFonts w:eastAsia="Verdana" w:cs="Verdana" w:ascii="Verdana" w:hAnsi="Verdana"/>
          <w:b/>
          <w:sz w:val="18"/>
          <w:szCs w:val="18"/>
        </w:rPr>
      </w:r>
    </w:p>
    <w:p>
      <w:pPr>
        <w:pStyle w:val="Normal"/>
        <w:tabs>
          <w:tab w:val="clear" w:pos="720"/>
          <w:tab w:val="left" w:pos="709" w:leader="none"/>
        </w:tabs>
        <w:ind w:left="284" w:hanging="0"/>
        <w:jc w:val="both"/>
        <w:rPr>
          <w:rFonts w:ascii="Verdana" w:hAnsi="Verdana" w:eastAsia="Verdana" w:cs="Verdana"/>
          <w:sz w:val="18"/>
          <w:szCs w:val="18"/>
        </w:rPr>
      </w:pPr>
      <w:r>
        <w:rPr>
          <w:rFonts w:eastAsia="Verdana" w:cs="Verdana" w:ascii="Verdana" w:hAnsi="Verdana"/>
          <w:b/>
          <w:sz w:val="18"/>
          <w:szCs w:val="18"/>
        </w:rPr>
        <w:t xml:space="preserve">11.4.2 - </w:t>
      </w:r>
      <w:r>
        <w:rPr>
          <w:rFonts w:eastAsia="Verdana" w:cs="Verdana" w:ascii="Verdana" w:hAnsi="Verdana"/>
          <w:sz w:val="18"/>
          <w:szCs w:val="18"/>
        </w:rPr>
        <w:t>Para as infrações previstas nos itens 11.1.4, 11.1.5, 11.1.6, 11.1.7 e 11.1.8, a multa será de 15% a 30% do valor do contrato licitado.</w:t>
      </w:r>
    </w:p>
    <w:p>
      <w:pPr>
        <w:pStyle w:val="Normal"/>
        <w:tabs>
          <w:tab w:val="clear" w:pos="720"/>
          <w:tab w:val="left" w:pos="709" w:leader="none"/>
        </w:tabs>
        <w:jc w:val="both"/>
        <w:rPr>
          <w:rFonts w:ascii="Verdana" w:hAnsi="Verdana" w:eastAsia="Verdana" w:cs="Verdana"/>
          <w:b/>
          <w:b/>
          <w:sz w:val="18"/>
          <w:szCs w:val="18"/>
        </w:rPr>
      </w:pPr>
      <w:r>
        <w:rPr>
          <w:rFonts w:eastAsia="Verdana" w:cs="Verdana" w:ascii="Verdana" w:hAnsi="Verdana"/>
          <w:b/>
          <w:sz w:val="18"/>
          <w:szCs w:val="18"/>
        </w:rPr>
      </w:r>
    </w:p>
    <w:p>
      <w:pPr>
        <w:pStyle w:val="Normal"/>
        <w:tabs>
          <w:tab w:val="clear" w:pos="720"/>
          <w:tab w:val="left" w:pos="709" w:leader="none"/>
        </w:tabs>
        <w:jc w:val="both"/>
        <w:rPr>
          <w:rFonts w:ascii="Verdana" w:hAnsi="Verdana" w:eastAsia="Verdana" w:cs="Verdana"/>
          <w:sz w:val="18"/>
          <w:szCs w:val="18"/>
        </w:rPr>
      </w:pPr>
      <w:r>
        <w:rPr>
          <w:rFonts w:eastAsia="Verdana" w:cs="Verdana" w:ascii="Verdana" w:hAnsi="Verdana"/>
          <w:b/>
          <w:sz w:val="18"/>
          <w:szCs w:val="18"/>
        </w:rPr>
        <w:t xml:space="preserve">11.6 </w:t>
      </w:r>
      <w:r>
        <w:rPr>
          <w:rFonts w:eastAsia="Verdana" w:cs="Verdana" w:ascii="Verdana" w:hAnsi="Verdana"/>
          <w:sz w:val="18"/>
          <w:szCs w:val="18"/>
        </w:rPr>
        <w:t>-</w:t>
        <w:tab/>
        <w:t>Na aplicação da sanção de multa será facultada a defesa do interessado no prazo de 15 (quinze) dias úteis, contado da data de sua intimação.</w:t>
      </w:r>
    </w:p>
    <w:p>
      <w:pPr>
        <w:pStyle w:val="Normal"/>
        <w:tabs>
          <w:tab w:val="clear" w:pos="720"/>
          <w:tab w:val="left" w:pos="709" w:leader="none"/>
        </w:tabs>
        <w:jc w:val="both"/>
        <w:rPr>
          <w:rFonts w:ascii="Verdana" w:hAnsi="Verdana" w:eastAsia="Verdana" w:cs="Verdana"/>
          <w:b/>
          <w:b/>
          <w:sz w:val="18"/>
          <w:szCs w:val="18"/>
        </w:rPr>
      </w:pPr>
      <w:r>
        <w:rPr>
          <w:rFonts w:eastAsia="Verdana" w:cs="Verdana" w:ascii="Verdana" w:hAnsi="Verdana"/>
          <w:b/>
          <w:sz w:val="18"/>
          <w:szCs w:val="18"/>
        </w:rPr>
      </w:r>
    </w:p>
    <w:p>
      <w:pPr>
        <w:pStyle w:val="Normal"/>
        <w:tabs>
          <w:tab w:val="clear" w:pos="720"/>
          <w:tab w:val="left" w:pos="709" w:leader="none"/>
        </w:tabs>
        <w:jc w:val="both"/>
        <w:rPr>
          <w:rFonts w:ascii="Verdana" w:hAnsi="Verdana" w:eastAsia="Verdana" w:cs="Verdana"/>
          <w:sz w:val="18"/>
          <w:szCs w:val="18"/>
        </w:rPr>
      </w:pPr>
      <w:r>
        <w:rPr>
          <w:rFonts w:eastAsia="Verdana" w:cs="Verdana" w:ascii="Verdana" w:hAnsi="Verdana"/>
          <w:b/>
          <w:sz w:val="18"/>
          <w:szCs w:val="18"/>
        </w:rPr>
        <w:t>11.7 -</w:t>
        <w:tab/>
      </w:r>
      <w:r>
        <w:rPr>
          <w:rFonts w:eastAsia="Verdana" w:cs="Verdana" w:ascii="Verdana" w:hAnsi="Verdana"/>
          <w:sz w:val="18"/>
          <w:szCs w:val="18"/>
        </w:rPr>
        <w:t>A sanção de impedimento de licitar e contratar será aplicada ao responsável em decorrência das infrações administrativas relacionadas nos itens 11.1.1, 11.1.2 e 11.1.3, quando não se justificar a imposição de penalidade mais grave, e impedirá o responsável de licitar e contratar no âmbito da Administração Pública direta e indireta do ente federativo a qual pertencer o órgão ou entidade, pelo prazo máximo de 3 (três) anos.</w:t>
      </w:r>
    </w:p>
    <w:p>
      <w:pPr>
        <w:pStyle w:val="Normal"/>
        <w:tabs>
          <w:tab w:val="clear" w:pos="720"/>
          <w:tab w:val="left" w:pos="709" w:leader="none"/>
        </w:tabs>
        <w:jc w:val="both"/>
        <w:rPr>
          <w:rFonts w:ascii="Verdana" w:hAnsi="Verdana" w:eastAsia="Verdana" w:cs="Verdana"/>
          <w:b/>
          <w:b/>
          <w:sz w:val="18"/>
          <w:szCs w:val="18"/>
        </w:rPr>
      </w:pPr>
      <w:r>
        <w:rPr>
          <w:rFonts w:eastAsia="Verdana" w:cs="Verdana" w:ascii="Verdana" w:hAnsi="Verdana"/>
          <w:b/>
          <w:sz w:val="18"/>
          <w:szCs w:val="18"/>
        </w:rPr>
      </w:r>
    </w:p>
    <w:p>
      <w:pPr>
        <w:pStyle w:val="Normal"/>
        <w:tabs>
          <w:tab w:val="clear" w:pos="720"/>
          <w:tab w:val="left" w:pos="709" w:leader="none"/>
        </w:tabs>
        <w:jc w:val="both"/>
        <w:rPr>
          <w:rFonts w:ascii="Verdana" w:hAnsi="Verdana" w:eastAsia="Verdana" w:cs="Verdana"/>
          <w:sz w:val="18"/>
          <w:szCs w:val="18"/>
        </w:rPr>
      </w:pPr>
      <w:r>
        <w:rPr>
          <w:rFonts w:eastAsia="Verdana" w:cs="Verdana" w:ascii="Verdana" w:hAnsi="Verdana"/>
          <w:b/>
          <w:sz w:val="18"/>
          <w:szCs w:val="18"/>
        </w:rPr>
        <w:t>11.8 -</w:t>
        <w:tab/>
      </w:r>
      <w:r>
        <w:rPr>
          <w:rFonts w:eastAsia="Verdana" w:cs="Verdana" w:ascii="Verdana" w:hAnsi="Verdana"/>
          <w:sz w:val="18"/>
          <w:szCs w:val="18"/>
        </w:rPr>
        <w:t>Poderá ser aplicada ao responsável a sanção de declaração de inidoneidade para licitar ou contratar, em decorrência da prática das infrações dispostas nos itens 11.1.4, 11.1.5, 11.1.6, 11.1.7 e 11.1.8, bem como pelas infrações administrativas previstas nos itens 11.1.1, 11.1.2 e 11.1.3 que justifiquem a imposição de penalidade mais grave que a sanção de impedimento de licitar e contratar, cuja duração observará o prazo previsto no art. 156, §5º, da Lei n.º 14.133/2021.</w:t>
      </w:r>
    </w:p>
    <w:p>
      <w:pPr>
        <w:pStyle w:val="Normal"/>
        <w:tabs>
          <w:tab w:val="clear" w:pos="720"/>
          <w:tab w:val="left" w:pos="709" w:leader="none"/>
        </w:tabs>
        <w:jc w:val="both"/>
        <w:rPr>
          <w:rFonts w:ascii="Verdana" w:hAnsi="Verdana" w:eastAsia="Verdana" w:cs="Verdana"/>
          <w:b/>
          <w:b/>
          <w:sz w:val="18"/>
          <w:szCs w:val="18"/>
        </w:rPr>
      </w:pPr>
      <w:r>
        <w:rPr>
          <w:rFonts w:eastAsia="Verdana" w:cs="Verdana" w:ascii="Verdana" w:hAnsi="Verdana"/>
          <w:b/>
          <w:sz w:val="18"/>
          <w:szCs w:val="18"/>
        </w:rPr>
      </w:r>
    </w:p>
    <w:p>
      <w:pPr>
        <w:pStyle w:val="Normal"/>
        <w:tabs>
          <w:tab w:val="clear" w:pos="720"/>
          <w:tab w:val="left" w:pos="709" w:leader="none"/>
        </w:tabs>
        <w:jc w:val="both"/>
        <w:rPr>
          <w:rFonts w:ascii="Verdana" w:hAnsi="Verdana" w:eastAsia="Verdana" w:cs="Verdana"/>
          <w:sz w:val="18"/>
          <w:szCs w:val="18"/>
        </w:rPr>
      </w:pPr>
      <w:r>
        <w:rPr>
          <w:rFonts w:eastAsia="Verdana" w:cs="Verdana" w:ascii="Verdana" w:hAnsi="Verdana"/>
          <w:b/>
          <w:sz w:val="18"/>
          <w:szCs w:val="18"/>
        </w:rPr>
        <w:t>11.9 -</w:t>
        <w:tab/>
      </w:r>
      <w:r>
        <w:rPr>
          <w:rFonts w:eastAsia="Verdana" w:cs="Verdana" w:ascii="Verdana" w:hAnsi="Verdana"/>
          <w:sz w:val="18"/>
          <w:szCs w:val="18"/>
        </w:rPr>
        <w:t xml:space="preserve">A recusa injustificada do adjudicatário em assinar o contrato ou a ata de registro de preço, ou em aceitar ou retirar o instrumento equivalente no prazo estabelecido pela Administração, descrita no item 11.1.3, caracterizará o descumprimento total da obrigação assumida e o sujeitará às penalidades e à imediata perda da garantia de proposta em favor do órgão ou entidade promotora da licitação, nos termos do art. 45, §4º da IN SEGES/ME n.º 73, de 2022. </w:t>
      </w:r>
    </w:p>
    <w:p>
      <w:pPr>
        <w:pStyle w:val="Normal"/>
        <w:tabs>
          <w:tab w:val="clear" w:pos="720"/>
          <w:tab w:val="left" w:pos="709" w:leader="none"/>
        </w:tabs>
        <w:jc w:val="both"/>
        <w:rPr>
          <w:rFonts w:ascii="Verdana" w:hAnsi="Verdana" w:eastAsia="Verdana" w:cs="Verdana"/>
          <w:b/>
          <w:b/>
          <w:sz w:val="18"/>
          <w:szCs w:val="18"/>
        </w:rPr>
      </w:pPr>
      <w:r>
        <w:rPr>
          <w:rFonts w:eastAsia="Verdana" w:cs="Verdana" w:ascii="Verdana" w:hAnsi="Verdana"/>
          <w:b/>
          <w:sz w:val="18"/>
          <w:szCs w:val="18"/>
        </w:rPr>
      </w:r>
    </w:p>
    <w:p>
      <w:pPr>
        <w:pStyle w:val="Normal"/>
        <w:tabs>
          <w:tab w:val="clear" w:pos="720"/>
          <w:tab w:val="left" w:pos="709" w:leader="none"/>
        </w:tabs>
        <w:jc w:val="both"/>
        <w:rPr>
          <w:rFonts w:ascii="Verdana" w:hAnsi="Verdana" w:eastAsia="Verdana" w:cs="Verdana"/>
          <w:sz w:val="18"/>
          <w:szCs w:val="18"/>
        </w:rPr>
      </w:pPr>
      <w:r>
        <w:rPr>
          <w:rFonts w:eastAsia="Verdana" w:cs="Verdana" w:ascii="Verdana" w:hAnsi="Verdana"/>
          <w:b/>
          <w:sz w:val="18"/>
          <w:szCs w:val="18"/>
        </w:rPr>
        <w:t xml:space="preserve">11.10 </w:t>
      </w:r>
      <w:r>
        <w:rPr>
          <w:rFonts w:eastAsia="Verdana" w:cs="Verdana" w:ascii="Verdana" w:hAnsi="Verdana"/>
          <w:sz w:val="18"/>
          <w:szCs w:val="18"/>
        </w:rPr>
        <w:t xml:space="preserve">- 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pPr>
        <w:pStyle w:val="Normal"/>
        <w:tabs>
          <w:tab w:val="clear" w:pos="720"/>
          <w:tab w:val="left" w:pos="709" w:leader="none"/>
        </w:tabs>
        <w:jc w:val="both"/>
        <w:rPr>
          <w:rFonts w:ascii="Verdana" w:hAnsi="Verdana" w:eastAsia="Verdana" w:cs="Verdana"/>
          <w:b/>
          <w:b/>
          <w:sz w:val="18"/>
          <w:szCs w:val="18"/>
        </w:rPr>
      </w:pPr>
      <w:r>
        <w:rPr>
          <w:rFonts w:eastAsia="Verdana" w:cs="Verdana" w:ascii="Verdana" w:hAnsi="Verdana"/>
          <w:b/>
          <w:sz w:val="18"/>
          <w:szCs w:val="18"/>
        </w:rPr>
      </w:r>
    </w:p>
    <w:p>
      <w:pPr>
        <w:pStyle w:val="Normal"/>
        <w:tabs>
          <w:tab w:val="clear" w:pos="720"/>
          <w:tab w:val="left" w:pos="709" w:leader="none"/>
        </w:tabs>
        <w:jc w:val="both"/>
        <w:rPr>
          <w:rFonts w:ascii="Verdana" w:hAnsi="Verdana" w:eastAsia="Verdana" w:cs="Verdana"/>
          <w:sz w:val="18"/>
          <w:szCs w:val="18"/>
        </w:rPr>
      </w:pPr>
      <w:r>
        <w:rPr>
          <w:rFonts w:eastAsia="Verdana" w:cs="Verdana" w:ascii="Verdana" w:hAnsi="Verdana"/>
          <w:b/>
          <w:sz w:val="18"/>
          <w:szCs w:val="18"/>
        </w:rPr>
        <w:t xml:space="preserve">11.11 - </w:t>
      </w:r>
      <w:r>
        <w:rPr>
          <w:rFonts w:eastAsia="Verdana" w:cs="Verdana" w:ascii="Verdana" w:hAnsi="Verdana"/>
          <w:sz w:val="18"/>
          <w:szCs w:val="18"/>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pPr>
        <w:pStyle w:val="Normal"/>
        <w:tabs>
          <w:tab w:val="clear" w:pos="720"/>
          <w:tab w:val="left" w:pos="709" w:leader="none"/>
        </w:tabs>
        <w:jc w:val="both"/>
        <w:rPr>
          <w:rFonts w:ascii="Verdana" w:hAnsi="Verdana" w:eastAsia="Verdana" w:cs="Verdana"/>
          <w:b/>
          <w:b/>
          <w:sz w:val="18"/>
          <w:szCs w:val="18"/>
        </w:rPr>
      </w:pPr>
      <w:r>
        <w:rPr>
          <w:rFonts w:eastAsia="Verdana" w:cs="Verdana" w:ascii="Verdana" w:hAnsi="Verdana"/>
          <w:b/>
          <w:sz w:val="18"/>
          <w:szCs w:val="18"/>
        </w:rPr>
      </w:r>
    </w:p>
    <w:p>
      <w:pPr>
        <w:pStyle w:val="Normal"/>
        <w:tabs>
          <w:tab w:val="clear" w:pos="720"/>
          <w:tab w:val="left" w:pos="709" w:leader="none"/>
        </w:tabs>
        <w:jc w:val="both"/>
        <w:rPr>
          <w:rFonts w:ascii="Verdana" w:hAnsi="Verdana" w:eastAsia="Verdana" w:cs="Verdana"/>
          <w:sz w:val="18"/>
          <w:szCs w:val="18"/>
        </w:rPr>
      </w:pPr>
      <w:r>
        <w:rPr>
          <w:rFonts w:eastAsia="Verdana" w:cs="Verdana" w:ascii="Verdana" w:hAnsi="Verdana"/>
          <w:b/>
          <w:sz w:val="18"/>
          <w:szCs w:val="18"/>
        </w:rPr>
        <w:t xml:space="preserve">11.12 - </w:t>
      </w:r>
      <w:r>
        <w:rPr>
          <w:rFonts w:eastAsia="Verdana" w:cs="Verdana" w:ascii="Verdana" w:hAnsi="Verdana"/>
          <w:sz w:val="18"/>
          <w:szCs w:val="18"/>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pPr>
        <w:pStyle w:val="Normal"/>
        <w:tabs>
          <w:tab w:val="clear" w:pos="720"/>
          <w:tab w:val="left" w:pos="709" w:leader="none"/>
        </w:tabs>
        <w:jc w:val="both"/>
        <w:rPr>
          <w:rFonts w:ascii="Verdana" w:hAnsi="Verdana" w:eastAsia="Verdana" w:cs="Verdana"/>
          <w:b/>
          <w:b/>
          <w:sz w:val="18"/>
          <w:szCs w:val="18"/>
        </w:rPr>
      </w:pPr>
      <w:r>
        <w:rPr>
          <w:rFonts w:eastAsia="Verdana" w:cs="Verdana" w:ascii="Verdana" w:hAnsi="Verdana"/>
          <w:b/>
          <w:sz w:val="18"/>
          <w:szCs w:val="18"/>
        </w:rPr>
      </w:r>
    </w:p>
    <w:p>
      <w:pPr>
        <w:pStyle w:val="Normal"/>
        <w:tabs>
          <w:tab w:val="clear" w:pos="720"/>
          <w:tab w:val="left" w:pos="709" w:leader="none"/>
        </w:tabs>
        <w:jc w:val="both"/>
        <w:rPr>
          <w:rFonts w:ascii="Verdana" w:hAnsi="Verdana" w:eastAsia="Verdana" w:cs="Verdana"/>
          <w:sz w:val="18"/>
          <w:szCs w:val="18"/>
        </w:rPr>
      </w:pPr>
      <w:r>
        <w:rPr>
          <w:rFonts w:eastAsia="Verdana" w:cs="Verdana" w:ascii="Verdana" w:hAnsi="Verdana"/>
          <w:b/>
          <w:sz w:val="18"/>
          <w:szCs w:val="18"/>
        </w:rPr>
        <w:t xml:space="preserve">11.13 -  </w:t>
      </w:r>
      <w:r>
        <w:rPr>
          <w:rFonts w:eastAsia="Verdana" w:cs="Verdana" w:ascii="Verdana" w:hAnsi="Verdana"/>
          <w:sz w:val="18"/>
          <w:szCs w:val="18"/>
        </w:rPr>
        <w:t>O recurso e o pedido de reconsideração terão efeito suspensivo do ato ou da decisão recorrida até que sobrevenha decisão final da autoridade competente.</w:t>
      </w:r>
    </w:p>
    <w:p>
      <w:pPr>
        <w:pStyle w:val="Normal"/>
        <w:tabs>
          <w:tab w:val="clear" w:pos="720"/>
          <w:tab w:val="left" w:pos="709" w:leader="none"/>
        </w:tabs>
        <w:jc w:val="both"/>
        <w:rPr>
          <w:rFonts w:ascii="Verdana" w:hAnsi="Verdana" w:eastAsia="Verdana" w:cs="Verdana"/>
          <w:b/>
          <w:b/>
          <w:sz w:val="18"/>
          <w:szCs w:val="18"/>
        </w:rPr>
      </w:pPr>
      <w:r>
        <w:rPr>
          <w:rFonts w:eastAsia="Verdana" w:cs="Verdana" w:ascii="Verdana" w:hAnsi="Verdana"/>
          <w:b/>
          <w:sz w:val="18"/>
          <w:szCs w:val="18"/>
        </w:rPr>
      </w:r>
    </w:p>
    <w:p>
      <w:pPr>
        <w:pStyle w:val="Normal"/>
        <w:tabs>
          <w:tab w:val="clear" w:pos="720"/>
          <w:tab w:val="left" w:pos="709" w:leader="none"/>
        </w:tabs>
        <w:jc w:val="both"/>
        <w:rPr>
          <w:rFonts w:ascii="Verdana" w:hAnsi="Verdana" w:eastAsia="Verdana" w:cs="Verdana"/>
          <w:sz w:val="18"/>
          <w:szCs w:val="18"/>
        </w:rPr>
      </w:pPr>
      <w:r>
        <w:rPr>
          <w:rFonts w:eastAsia="Verdana" w:cs="Verdana" w:ascii="Verdana" w:hAnsi="Verdana"/>
          <w:b/>
          <w:sz w:val="18"/>
          <w:szCs w:val="18"/>
        </w:rPr>
        <w:t xml:space="preserve">11.14 - </w:t>
      </w:r>
      <w:r>
        <w:rPr>
          <w:rFonts w:eastAsia="Verdana" w:cs="Verdana" w:ascii="Verdana" w:hAnsi="Verdana"/>
          <w:sz w:val="18"/>
          <w:szCs w:val="18"/>
        </w:rPr>
        <w:t>A aplicação das sanções previstas neste edital não exclui, em hipótese alguma, a obrigação de reparação integral dos danos causados.</w:t>
      </w:r>
    </w:p>
    <w:p>
      <w:pPr>
        <w:pStyle w:val="Normal"/>
        <w:tabs>
          <w:tab w:val="clear" w:pos="720"/>
          <w:tab w:val="left" w:pos="1134" w:leader="none"/>
          <w:tab w:val="left" w:pos="2268" w:leader="none"/>
          <w:tab w:val="left" w:pos="3402" w:leader="none"/>
          <w:tab w:val="left" w:pos="4536" w:leader="none"/>
          <w:tab w:val="left" w:pos="5670" w:leader="none"/>
          <w:tab w:val="left" w:pos="6804" w:leader="none"/>
          <w:tab w:val="left" w:pos="7938" w:leader="none"/>
          <w:tab w:val="left" w:pos="9072" w:leader="none"/>
          <w:tab w:val="left" w:pos="10206" w:leader="none"/>
          <w:tab w:val="left" w:pos="11340" w:leader="none"/>
        </w:tabs>
        <w:jc w:val="both"/>
        <w:rPr>
          <w:rFonts w:ascii="Verdana" w:hAnsi="Verdana" w:eastAsia="Verdana" w:cs="Verdana"/>
          <w:b/>
          <w:b/>
          <w:sz w:val="18"/>
          <w:szCs w:val="18"/>
        </w:rPr>
      </w:pPr>
      <w:r>
        <w:rPr>
          <w:rFonts w:eastAsia="Verdana" w:cs="Verdana" w:ascii="Verdana" w:hAnsi="Verdana"/>
          <w:b/>
          <w:sz w:val="18"/>
          <w:szCs w:val="18"/>
        </w:rPr>
      </w:r>
    </w:p>
    <w:p>
      <w:pPr>
        <w:pStyle w:val="Normal"/>
        <w:tabs>
          <w:tab w:val="clear" w:pos="720"/>
          <w:tab w:val="left" w:pos="1134" w:leader="none"/>
          <w:tab w:val="left" w:pos="2268" w:leader="none"/>
          <w:tab w:val="left" w:pos="3402" w:leader="none"/>
          <w:tab w:val="left" w:pos="4536" w:leader="none"/>
          <w:tab w:val="left" w:pos="5670" w:leader="none"/>
          <w:tab w:val="left" w:pos="6804" w:leader="none"/>
          <w:tab w:val="left" w:pos="7938" w:leader="none"/>
          <w:tab w:val="left" w:pos="9072" w:leader="none"/>
          <w:tab w:val="left" w:pos="10206" w:leader="none"/>
          <w:tab w:val="left" w:pos="11340" w:leader="none"/>
        </w:tabs>
        <w:jc w:val="both"/>
        <w:rPr>
          <w:rFonts w:ascii="Verdana" w:hAnsi="Verdana" w:eastAsia="Verdana" w:cs="Verdana"/>
          <w:sz w:val="18"/>
          <w:szCs w:val="18"/>
        </w:rPr>
      </w:pPr>
      <w:r>
        <w:rPr>
          <w:rFonts w:eastAsia="Verdana" w:cs="Verdana" w:ascii="Verdana" w:hAnsi="Verdana"/>
          <w:b/>
          <w:sz w:val="18"/>
          <w:szCs w:val="18"/>
        </w:rPr>
        <w:t xml:space="preserve">11.15 - </w:t>
      </w:r>
      <w:r>
        <w:rPr>
          <w:rFonts w:eastAsia="Verdana" w:cs="Verdana" w:ascii="Verdana" w:hAnsi="Verdana"/>
          <w:sz w:val="18"/>
          <w:szCs w:val="18"/>
        </w:rPr>
        <w:t xml:space="preserve">Os atos administrativos de aplicação das sanções porventura aplicadas serão registrados no SICAF, bem como </w:t>
      </w:r>
      <w:r>
        <w:rPr>
          <w:rFonts w:eastAsia="Arial" w:cs="Arial" w:ascii="Arial" w:hAnsi="Arial"/>
        </w:rPr>
        <w:t>no Cadastro Nacional de Empresas Inidôneas e Suspensas (Ceis) e no Cadastro Nacional de Empresas Punidas (Cnep)</w:t>
      </w:r>
      <w:r>
        <w:rPr>
          <w:rFonts w:eastAsia="Verdana" w:cs="Verdana" w:ascii="Verdana" w:hAnsi="Verdana"/>
          <w:sz w:val="18"/>
          <w:szCs w:val="18"/>
        </w:rPr>
        <w:t>.</w:t>
      </w:r>
    </w:p>
    <w:p>
      <w:pPr>
        <w:pStyle w:val="Normal"/>
        <w:jc w:val="both"/>
        <w:rPr>
          <w:rFonts w:ascii="Verdana" w:hAnsi="Verdana" w:eastAsia="Verdana" w:cs="Verdana"/>
          <w:sz w:val="18"/>
          <w:szCs w:val="18"/>
        </w:rPr>
      </w:pPr>
      <w:r>
        <w:rPr>
          <w:rFonts w:eastAsia="Verdana" w:cs="Verdana" w:ascii="Verdana" w:hAnsi="Verdana"/>
          <w:sz w:val="18"/>
          <w:szCs w:val="18"/>
        </w:rPr>
      </w:r>
    </w:p>
    <w:p>
      <w:pPr>
        <w:pStyle w:val="Normal"/>
        <w:shd w:val="clear" w:color="auto" w:fill="C0C0C0"/>
        <w:jc w:val="both"/>
        <w:rPr>
          <w:rFonts w:ascii="Verdana" w:hAnsi="Verdana" w:eastAsia="Verdana" w:cs="Verdana"/>
          <w:b/>
          <w:b/>
          <w:sz w:val="18"/>
          <w:szCs w:val="18"/>
        </w:rPr>
      </w:pPr>
      <w:r>
        <w:rPr>
          <w:rFonts w:eastAsia="Verdana" w:cs="Verdana" w:ascii="Verdana" w:hAnsi="Verdana"/>
          <w:b/>
          <w:sz w:val="18"/>
          <w:szCs w:val="18"/>
        </w:rPr>
        <w:t>12 - DA IMPUGNAÇÃO AO EDITAL E DO PEDIDO DE ESCLARECIMENTO</w:t>
      </w:r>
    </w:p>
    <w:p>
      <w:pPr>
        <w:pStyle w:val="Normal"/>
        <w:jc w:val="both"/>
        <w:rPr>
          <w:rFonts w:ascii="Verdana" w:hAnsi="Verdana" w:eastAsia="Verdana" w:cs="Verdana"/>
          <w:strike/>
          <w:sz w:val="18"/>
          <w:szCs w:val="18"/>
        </w:rPr>
      </w:pPr>
      <w:r>
        <w:rPr>
          <w:rFonts w:eastAsia="Verdana" w:cs="Verdana" w:ascii="Verdana" w:hAnsi="Verdana"/>
          <w:strike/>
          <w:sz w:val="18"/>
          <w:szCs w:val="18"/>
        </w:rPr>
      </w:r>
    </w:p>
    <w:p>
      <w:pPr>
        <w:pStyle w:val="Normal"/>
        <w:jc w:val="both"/>
        <w:rPr>
          <w:rFonts w:ascii="Verdana" w:hAnsi="Verdana" w:eastAsia="Verdana" w:cs="Verdana"/>
          <w:sz w:val="18"/>
          <w:szCs w:val="18"/>
        </w:rPr>
      </w:pPr>
      <w:r>
        <w:rPr>
          <w:rFonts w:eastAsia="Verdana" w:cs="Verdana" w:ascii="Verdana" w:hAnsi="Verdana"/>
          <w:b/>
          <w:sz w:val="18"/>
          <w:szCs w:val="18"/>
        </w:rPr>
        <w:t xml:space="preserve">12.1 - </w:t>
      </w:r>
      <w:r>
        <w:rPr>
          <w:rFonts w:eastAsia="Verdana" w:cs="Verdana" w:ascii="Verdana" w:hAnsi="Verdana"/>
          <w:sz w:val="18"/>
          <w:szCs w:val="18"/>
        </w:rPr>
        <w:t>Qualquer pessoa é parte legítima para impugnar este Edital por irregularidade na aplicação da Lei nº 14.133, de 2021, devendo protocolar o pedido até 3 (cinco) dias úteis antes da data da abertura do certame.</w:t>
      </w:r>
    </w:p>
    <w:p>
      <w:pPr>
        <w:pStyle w:val="Normal"/>
        <w:jc w:val="both"/>
        <w:rPr>
          <w:rFonts w:ascii="Verdana" w:hAnsi="Verdana" w:eastAsia="Verdana" w:cs="Verdana"/>
          <w:sz w:val="18"/>
          <w:szCs w:val="18"/>
        </w:rPr>
      </w:pPr>
      <w:r>
        <w:rPr>
          <w:rFonts w:eastAsia="Verdana" w:cs="Verdana" w:ascii="Verdana" w:hAnsi="Verdana"/>
          <w:sz w:val="18"/>
          <w:szCs w:val="18"/>
        </w:rPr>
      </w:r>
    </w:p>
    <w:p>
      <w:pPr>
        <w:pStyle w:val="Normal"/>
        <w:jc w:val="both"/>
        <w:rPr>
          <w:rFonts w:ascii="Verdana" w:hAnsi="Verdana" w:eastAsia="Verdana" w:cs="Verdana"/>
          <w:sz w:val="18"/>
          <w:szCs w:val="18"/>
        </w:rPr>
      </w:pPr>
      <w:r>
        <w:rPr>
          <w:rFonts w:eastAsia="Verdana" w:cs="Verdana" w:ascii="Verdana" w:hAnsi="Verdana"/>
          <w:b/>
          <w:sz w:val="18"/>
          <w:szCs w:val="18"/>
        </w:rPr>
        <w:t>12.2 -</w:t>
      </w:r>
      <w:r>
        <w:rPr>
          <w:rFonts w:eastAsia="Verdana" w:cs="Verdana" w:ascii="Verdana" w:hAnsi="Verdana"/>
          <w:sz w:val="18"/>
          <w:szCs w:val="18"/>
        </w:rPr>
        <w:t xml:space="preserve"> A resposta à impugnação ou ao pedido de esclarecimento será divulgada em sítio eletrônico oficial no prazo de até 3 (três) dias úteis, limitado ao último dia útil anterior à data da abertura do certame.</w:t>
      </w:r>
    </w:p>
    <w:p>
      <w:pPr>
        <w:pStyle w:val="Normal"/>
        <w:jc w:val="both"/>
        <w:rPr>
          <w:rFonts w:ascii="Verdana" w:hAnsi="Verdana" w:eastAsia="Verdana" w:cs="Verdana"/>
          <w:sz w:val="18"/>
          <w:szCs w:val="18"/>
        </w:rPr>
      </w:pPr>
      <w:r>
        <w:rPr>
          <w:rFonts w:eastAsia="Verdana" w:cs="Verdana" w:ascii="Verdana" w:hAnsi="Verdana"/>
          <w:sz w:val="18"/>
          <w:szCs w:val="18"/>
        </w:rPr>
      </w:r>
    </w:p>
    <w:p>
      <w:pPr>
        <w:pStyle w:val="Normal"/>
        <w:jc w:val="both"/>
        <w:rPr>
          <w:rFonts w:ascii="Verdana" w:hAnsi="Verdana" w:eastAsia="Verdana" w:cs="Verdana"/>
          <w:sz w:val="18"/>
          <w:szCs w:val="18"/>
        </w:rPr>
      </w:pPr>
      <w:r>
        <w:rPr>
          <w:rFonts w:eastAsia="Verdana" w:cs="Verdana" w:ascii="Verdana" w:hAnsi="Verdana"/>
          <w:b/>
          <w:sz w:val="18"/>
          <w:szCs w:val="18"/>
        </w:rPr>
        <w:t xml:space="preserve">12.3 - </w:t>
      </w:r>
      <w:r>
        <w:rPr>
          <w:rFonts w:eastAsia="Verdana" w:cs="Verdana" w:ascii="Verdana" w:hAnsi="Verdana"/>
          <w:sz w:val="18"/>
          <w:szCs w:val="18"/>
        </w:rPr>
        <w:t>A impugnação e o pedido de esclarecimento serão realizados por meio do e-mail &lt;contratacao@tjes.jus.br&gt;.</w:t>
      </w:r>
    </w:p>
    <w:p>
      <w:pPr>
        <w:pStyle w:val="Normal"/>
        <w:jc w:val="both"/>
        <w:rPr>
          <w:rFonts w:ascii="Verdana" w:hAnsi="Verdana" w:eastAsia="Verdana" w:cs="Verdana"/>
          <w:sz w:val="18"/>
          <w:szCs w:val="18"/>
        </w:rPr>
      </w:pPr>
      <w:r>
        <w:rPr>
          <w:rFonts w:eastAsia="Verdana" w:cs="Verdana" w:ascii="Verdana" w:hAnsi="Verdana"/>
          <w:sz w:val="18"/>
          <w:szCs w:val="18"/>
        </w:rPr>
      </w:r>
    </w:p>
    <w:p>
      <w:pPr>
        <w:pStyle w:val="Normal"/>
        <w:jc w:val="both"/>
        <w:rPr>
          <w:rFonts w:ascii="Verdana" w:hAnsi="Verdana" w:eastAsia="Verdana" w:cs="Verdana"/>
          <w:sz w:val="18"/>
          <w:szCs w:val="18"/>
        </w:rPr>
      </w:pPr>
      <w:r>
        <w:rPr>
          <w:rFonts w:eastAsia="Verdana" w:cs="Verdana" w:ascii="Verdana" w:hAnsi="Verdana"/>
          <w:b/>
          <w:sz w:val="18"/>
          <w:szCs w:val="18"/>
        </w:rPr>
        <w:t>12.4 -</w:t>
      </w:r>
      <w:r>
        <w:rPr>
          <w:rFonts w:eastAsia="Verdana" w:cs="Verdana" w:ascii="Verdana" w:hAnsi="Verdana"/>
          <w:sz w:val="18"/>
          <w:szCs w:val="18"/>
        </w:rPr>
        <w:t xml:space="preserve"> As impugnações e pedidos de esclarecimentos não suspendem os prazos previstos no certame.</w:t>
      </w:r>
    </w:p>
    <w:p>
      <w:pPr>
        <w:pStyle w:val="Normal"/>
        <w:jc w:val="both"/>
        <w:rPr>
          <w:rFonts w:ascii="Verdana" w:hAnsi="Verdana" w:eastAsia="Verdana" w:cs="Verdana"/>
          <w:sz w:val="18"/>
          <w:szCs w:val="18"/>
        </w:rPr>
      </w:pPr>
      <w:r>
        <w:rPr>
          <w:rFonts w:eastAsia="Verdana" w:cs="Verdana" w:ascii="Verdana" w:hAnsi="Verdana"/>
          <w:sz w:val="18"/>
          <w:szCs w:val="18"/>
        </w:rPr>
      </w:r>
    </w:p>
    <w:p>
      <w:pPr>
        <w:pStyle w:val="Normal"/>
        <w:ind w:left="284" w:hanging="0"/>
        <w:jc w:val="both"/>
        <w:rPr>
          <w:rFonts w:ascii="Verdana" w:hAnsi="Verdana" w:eastAsia="Verdana" w:cs="Verdana"/>
          <w:sz w:val="18"/>
          <w:szCs w:val="18"/>
        </w:rPr>
      </w:pPr>
      <w:r>
        <w:rPr>
          <w:rFonts w:eastAsia="Verdana" w:cs="Verdana" w:ascii="Verdana" w:hAnsi="Verdana"/>
          <w:b/>
          <w:sz w:val="18"/>
          <w:szCs w:val="18"/>
        </w:rPr>
        <w:t>12.4.1 -</w:t>
      </w:r>
      <w:r>
        <w:rPr>
          <w:rFonts w:eastAsia="Verdana" w:cs="Verdana" w:ascii="Verdana" w:hAnsi="Verdana"/>
          <w:sz w:val="18"/>
          <w:szCs w:val="18"/>
        </w:rPr>
        <w:t xml:space="preserve"> A concessão de efeito suspensivo à impugnação é medida excepcional e deverá ser motivada pelo agente de contratação, nos autos do processo de licitação.</w:t>
      </w:r>
    </w:p>
    <w:p>
      <w:pPr>
        <w:pStyle w:val="Normal"/>
        <w:ind w:left="284" w:hanging="0"/>
        <w:jc w:val="both"/>
        <w:rPr>
          <w:rFonts w:ascii="Verdana" w:hAnsi="Verdana" w:eastAsia="Verdana" w:cs="Verdana"/>
          <w:sz w:val="18"/>
          <w:szCs w:val="18"/>
        </w:rPr>
      </w:pPr>
      <w:r>
        <w:rPr>
          <w:rFonts w:eastAsia="Verdana" w:cs="Verdana" w:ascii="Verdana" w:hAnsi="Verdana"/>
          <w:sz w:val="18"/>
          <w:szCs w:val="18"/>
        </w:rPr>
      </w:r>
    </w:p>
    <w:p>
      <w:pPr>
        <w:pStyle w:val="Normal"/>
        <w:ind w:left="284" w:hanging="0"/>
        <w:jc w:val="both"/>
        <w:rPr>
          <w:rFonts w:ascii="Verdana" w:hAnsi="Verdana" w:eastAsia="Verdana" w:cs="Verdana"/>
          <w:sz w:val="18"/>
          <w:szCs w:val="18"/>
        </w:rPr>
      </w:pPr>
      <w:r>
        <w:rPr>
          <w:rFonts w:eastAsia="Verdana" w:cs="Verdana" w:ascii="Verdana" w:hAnsi="Verdana"/>
          <w:b/>
          <w:sz w:val="18"/>
          <w:szCs w:val="18"/>
        </w:rPr>
        <w:t>12.4.2 -</w:t>
      </w:r>
      <w:r>
        <w:rPr>
          <w:rFonts w:eastAsia="Verdana" w:cs="Verdana" w:ascii="Verdana" w:hAnsi="Verdana"/>
          <w:sz w:val="18"/>
          <w:szCs w:val="18"/>
        </w:rPr>
        <w:t xml:space="preserve"> As respostas aos pedidos formulados bem como os comunicados ou alterações necessárias serão divulgados mediante nota no endereço eletrônico www.tjes.jus.br &gt; Portal da Transparência &gt; Licitações e Contratos &gt; Licitações, sendo de responsabilidade das empresas interessadas em participar do certame o acesso para obtenção das informações prestadas.</w:t>
      </w:r>
    </w:p>
    <w:p>
      <w:pPr>
        <w:pStyle w:val="Normal"/>
        <w:jc w:val="both"/>
        <w:rPr>
          <w:rFonts w:ascii="Verdana" w:hAnsi="Verdana" w:eastAsia="Verdana" w:cs="Verdana"/>
          <w:sz w:val="18"/>
          <w:szCs w:val="18"/>
        </w:rPr>
      </w:pPr>
      <w:r>
        <w:rPr>
          <w:rFonts w:eastAsia="Verdana" w:cs="Verdana" w:ascii="Verdana" w:hAnsi="Verdana"/>
          <w:sz w:val="18"/>
          <w:szCs w:val="18"/>
        </w:rPr>
      </w:r>
    </w:p>
    <w:p>
      <w:pPr>
        <w:pStyle w:val="Normal"/>
        <w:jc w:val="both"/>
        <w:rPr>
          <w:rFonts w:ascii="Verdana" w:hAnsi="Verdana" w:eastAsia="Verdana" w:cs="Verdana"/>
          <w:sz w:val="18"/>
          <w:szCs w:val="18"/>
        </w:rPr>
      </w:pPr>
      <w:r>
        <w:rPr>
          <w:rFonts w:eastAsia="Verdana" w:cs="Verdana" w:ascii="Verdana" w:hAnsi="Verdana"/>
          <w:b/>
          <w:sz w:val="18"/>
          <w:szCs w:val="18"/>
        </w:rPr>
        <w:t>12.5 -</w:t>
      </w:r>
      <w:r>
        <w:rPr>
          <w:rFonts w:eastAsia="Verdana" w:cs="Verdana" w:ascii="Verdana" w:hAnsi="Verdana"/>
          <w:sz w:val="18"/>
          <w:szCs w:val="18"/>
        </w:rPr>
        <w:t xml:space="preserve"> Acolhida a impugnação, será definida e publicada nova data para a realização do certame.</w:t>
      </w:r>
    </w:p>
    <w:p>
      <w:pPr>
        <w:pStyle w:val="Normal"/>
        <w:jc w:val="both"/>
        <w:rPr>
          <w:rFonts w:ascii="Verdana" w:hAnsi="Verdana" w:eastAsia="Verdana" w:cs="Verdana"/>
          <w:sz w:val="18"/>
          <w:szCs w:val="18"/>
        </w:rPr>
      </w:pPr>
      <w:r>
        <w:rPr>
          <w:rFonts w:eastAsia="Verdana" w:cs="Verdana" w:ascii="Verdana" w:hAnsi="Verdana"/>
          <w:sz w:val="18"/>
          <w:szCs w:val="18"/>
        </w:rPr>
      </w:r>
    </w:p>
    <w:p>
      <w:pPr>
        <w:pStyle w:val="Normal"/>
        <w:jc w:val="both"/>
        <w:rPr>
          <w:rFonts w:ascii="Verdana" w:hAnsi="Verdana" w:eastAsia="Verdana" w:cs="Verdana"/>
          <w:sz w:val="18"/>
          <w:szCs w:val="18"/>
        </w:rPr>
      </w:pPr>
      <w:r>
        <w:rPr>
          <w:rFonts w:eastAsia="Verdana" w:cs="Verdana" w:ascii="Verdana" w:hAnsi="Verdana"/>
          <w:sz w:val="18"/>
          <w:szCs w:val="18"/>
        </w:rPr>
      </w:r>
    </w:p>
    <w:p>
      <w:pPr>
        <w:pStyle w:val="Normal"/>
        <w:jc w:val="both"/>
        <w:rPr>
          <w:rFonts w:ascii="Verdana" w:hAnsi="Verdana" w:eastAsia="Verdana" w:cs="Verdana"/>
          <w:sz w:val="18"/>
          <w:szCs w:val="18"/>
        </w:rPr>
      </w:pPr>
      <w:r>
        <w:rPr>
          <w:rFonts w:eastAsia="Verdana" w:cs="Verdana" w:ascii="Verdana" w:hAnsi="Verdana"/>
          <w:sz w:val="18"/>
          <w:szCs w:val="18"/>
        </w:rPr>
      </w:r>
    </w:p>
    <w:p>
      <w:pPr>
        <w:pStyle w:val="Normal"/>
        <w:pBdr/>
        <w:shd w:val="clear" w:color="auto" w:fill="C0C0C0"/>
        <w:tabs>
          <w:tab w:val="clear" w:pos="720"/>
          <w:tab w:val="left" w:pos="1134" w:leader="none"/>
          <w:tab w:val="left" w:pos="2268" w:leader="none"/>
          <w:tab w:val="left" w:pos="3402" w:leader="none"/>
          <w:tab w:val="left" w:pos="4536" w:leader="none"/>
          <w:tab w:val="left" w:pos="5670" w:leader="none"/>
          <w:tab w:val="left" w:pos="6804" w:leader="none"/>
          <w:tab w:val="left" w:pos="7938" w:leader="none"/>
          <w:tab w:val="left" w:pos="9072" w:leader="none"/>
          <w:tab w:val="left" w:pos="10206" w:leader="none"/>
          <w:tab w:val="left" w:pos="11340" w:leader="none"/>
        </w:tabs>
        <w:jc w:val="both"/>
        <w:rPr>
          <w:rFonts w:ascii="Verdana" w:hAnsi="Verdana" w:eastAsia="Verdana" w:cs="Verdana"/>
          <w:b/>
          <w:b/>
          <w:sz w:val="18"/>
          <w:szCs w:val="18"/>
        </w:rPr>
      </w:pPr>
      <w:r>
        <w:rPr>
          <w:rFonts w:eastAsia="Verdana" w:cs="Verdana" w:ascii="Verdana" w:hAnsi="Verdana"/>
          <w:b/>
          <w:sz w:val="18"/>
          <w:szCs w:val="18"/>
        </w:rPr>
        <w:t>13 - DA ADJUDICAÇÃO E HOMOLOGAÇÃO</w:t>
      </w:r>
    </w:p>
    <w:p>
      <w:pPr>
        <w:pStyle w:val="Normal"/>
        <w:pBdr/>
        <w:tabs>
          <w:tab w:val="clear" w:pos="720"/>
          <w:tab w:val="left" w:pos="1134" w:leader="none"/>
          <w:tab w:val="left" w:pos="2268" w:leader="none"/>
          <w:tab w:val="left" w:pos="3402" w:leader="none"/>
          <w:tab w:val="left" w:pos="4536" w:leader="none"/>
          <w:tab w:val="left" w:pos="5670" w:leader="none"/>
          <w:tab w:val="left" w:pos="6804" w:leader="none"/>
          <w:tab w:val="left" w:pos="7938" w:leader="none"/>
          <w:tab w:val="left" w:pos="9072" w:leader="none"/>
          <w:tab w:val="left" w:pos="10206" w:leader="none"/>
          <w:tab w:val="left" w:pos="11340" w:leader="none"/>
        </w:tabs>
        <w:jc w:val="both"/>
        <w:rPr>
          <w:rFonts w:ascii="Verdana" w:hAnsi="Verdana" w:eastAsia="Verdana" w:cs="Verdana"/>
          <w:b/>
          <w:b/>
          <w:sz w:val="18"/>
          <w:szCs w:val="18"/>
        </w:rPr>
      </w:pPr>
      <w:r>
        <w:rPr>
          <w:rFonts w:eastAsia="Verdana" w:cs="Verdana" w:ascii="Verdana" w:hAnsi="Verdana"/>
          <w:b/>
          <w:sz w:val="18"/>
          <w:szCs w:val="18"/>
        </w:rPr>
      </w:r>
    </w:p>
    <w:p>
      <w:pPr>
        <w:pStyle w:val="Normal"/>
        <w:jc w:val="both"/>
        <w:rPr>
          <w:rFonts w:ascii="Verdana" w:hAnsi="Verdana" w:eastAsia="Verdana" w:cs="Verdana"/>
          <w:sz w:val="18"/>
          <w:szCs w:val="18"/>
        </w:rPr>
      </w:pPr>
      <w:r>
        <w:rPr>
          <w:rFonts w:eastAsia="Verdana" w:cs="Verdana" w:ascii="Verdana" w:hAnsi="Verdana"/>
          <w:b/>
          <w:sz w:val="18"/>
          <w:szCs w:val="18"/>
        </w:rPr>
        <w:t xml:space="preserve">13.1 </w:t>
      </w:r>
      <w:r>
        <w:rPr>
          <w:rFonts w:eastAsia="Verdana" w:cs="Verdana" w:ascii="Verdana" w:hAnsi="Verdana"/>
          <w:sz w:val="18"/>
          <w:szCs w:val="18"/>
        </w:rPr>
        <w:t>- Após a declaração do vencedor da licitação, não havendo manifestação dos licitantes quanto à interposição de recurso, o pregoeiro encaminhará o processo licitatório à Autoridade Superior, que poderá adjudicar o objeto e homologar a licitação.</w:t>
      </w:r>
    </w:p>
    <w:p>
      <w:pPr>
        <w:pStyle w:val="Normal"/>
        <w:jc w:val="both"/>
        <w:rPr>
          <w:rFonts w:ascii="Verdana" w:hAnsi="Verdana" w:eastAsia="Verdana" w:cs="Verdana"/>
          <w:sz w:val="18"/>
          <w:szCs w:val="18"/>
        </w:rPr>
      </w:pPr>
      <w:r>
        <w:rPr>
          <w:rFonts w:eastAsia="Verdana" w:cs="Verdana" w:ascii="Verdana" w:hAnsi="Verdana"/>
          <w:sz w:val="18"/>
          <w:szCs w:val="18"/>
        </w:rPr>
      </w:r>
    </w:p>
    <w:p>
      <w:pPr>
        <w:pStyle w:val="Normal"/>
        <w:jc w:val="both"/>
        <w:rPr>
          <w:rFonts w:ascii="Verdana" w:hAnsi="Verdana" w:eastAsia="Verdana" w:cs="Verdana"/>
          <w:sz w:val="18"/>
          <w:szCs w:val="18"/>
        </w:rPr>
      </w:pPr>
      <w:r>
        <w:rPr>
          <w:rFonts w:eastAsia="Verdana" w:cs="Verdana" w:ascii="Verdana" w:hAnsi="Verdana"/>
          <w:b/>
          <w:sz w:val="18"/>
          <w:szCs w:val="18"/>
        </w:rPr>
        <w:t xml:space="preserve">13.2 - </w:t>
      </w:r>
      <w:r>
        <w:rPr>
          <w:rFonts w:eastAsia="Verdana" w:cs="Verdana" w:ascii="Verdana" w:hAnsi="Verdana"/>
          <w:sz w:val="18"/>
          <w:szCs w:val="18"/>
        </w:rPr>
        <w:t xml:space="preserve">Em sendo adjudicado o objeto e homologada a licitação, a Administração convocará o adjudicatário para </w:t>
      </w:r>
      <w:r>
        <w:rPr>
          <w:rFonts w:eastAsia="Verdana" w:cs="Verdana" w:ascii="Verdana" w:hAnsi="Verdana"/>
          <w:b/>
          <w:sz w:val="18"/>
          <w:szCs w:val="18"/>
        </w:rPr>
        <w:t>assinar a ATA</w:t>
      </w:r>
      <w:r>
        <w:rPr>
          <w:rFonts w:eastAsia="Verdana" w:cs="Verdana" w:ascii="Verdana" w:hAnsi="Verdana"/>
          <w:sz w:val="18"/>
          <w:szCs w:val="18"/>
        </w:rPr>
        <w:t>.</w:t>
      </w:r>
    </w:p>
    <w:p>
      <w:pPr>
        <w:pStyle w:val="Normal"/>
        <w:jc w:val="both"/>
        <w:rPr>
          <w:rFonts w:ascii="Verdana" w:hAnsi="Verdana" w:eastAsia="Verdana" w:cs="Verdana"/>
          <w:sz w:val="18"/>
          <w:szCs w:val="18"/>
        </w:rPr>
      </w:pPr>
      <w:r>
        <w:rPr>
          <w:rFonts w:eastAsia="Verdana" w:cs="Verdana" w:ascii="Verdana" w:hAnsi="Verdana"/>
          <w:sz w:val="18"/>
          <w:szCs w:val="18"/>
        </w:rPr>
      </w:r>
    </w:p>
    <w:p>
      <w:pPr>
        <w:pStyle w:val="Normal"/>
        <w:pBdr/>
        <w:shd w:val="clear" w:color="auto" w:fill="C0C0C0"/>
        <w:jc w:val="both"/>
        <w:rPr>
          <w:rFonts w:ascii="Verdana" w:hAnsi="Verdana" w:eastAsia="Verdana" w:cs="Verdana"/>
          <w:b/>
          <w:b/>
          <w:sz w:val="18"/>
          <w:szCs w:val="18"/>
        </w:rPr>
      </w:pPr>
      <w:r>
        <w:rPr>
          <w:rFonts w:eastAsia="Verdana" w:cs="Verdana" w:ascii="Verdana" w:hAnsi="Verdana"/>
          <w:b/>
          <w:sz w:val="18"/>
          <w:szCs w:val="18"/>
        </w:rPr>
        <w:t>14 - DA FORMALIZAÇÃO DA ATA DE REGISTRO DE PREÇOS</w:t>
      </w:r>
    </w:p>
    <w:p>
      <w:pPr>
        <w:pStyle w:val="Normal"/>
        <w:tabs>
          <w:tab w:val="clear" w:pos="720"/>
          <w:tab w:val="left" w:pos="1134" w:leader="none"/>
        </w:tabs>
        <w:jc w:val="both"/>
        <w:rPr>
          <w:rFonts w:ascii="Verdana" w:hAnsi="Verdana" w:eastAsia="Verdana" w:cs="Verdana"/>
          <w:b/>
          <w:b/>
          <w:sz w:val="18"/>
          <w:szCs w:val="18"/>
        </w:rPr>
      </w:pPr>
      <w:r>
        <w:rPr>
          <w:rFonts w:eastAsia="Verdana" w:cs="Verdana" w:ascii="Verdana" w:hAnsi="Verdana"/>
          <w:b/>
          <w:sz w:val="18"/>
          <w:szCs w:val="18"/>
        </w:rPr>
      </w:r>
    </w:p>
    <w:p>
      <w:pPr>
        <w:pStyle w:val="Normal"/>
        <w:tabs>
          <w:tab w:val="clear" w:pos="720"/>
          <w:tab w:val="left" w:pos="1134" w:leader="none"/>
        </w:tabs>
        <w:jc w:val="both"/>
        <w:rPr>
          <w:rFonts w:ascii="Verdana" w:hAnsi="Verdana" w:eastAsia="Verdana" w:cs="Verdana"/>
          <w:sz w:val="18"/>
          <w:szCs w:val="18"/>
        </w:rPr>
      </w:pPr>
      <w:r>
        <w:rPr>
          <w:rFonts w:eastAsia="Verdana" w:cs="Verdana" w:ascii="Verdana" w:hAnsi="Verdana"/>
          <w:b/>
          <w:sz w:val="18"/>
          <w:szCs w:val="18"/>
        </w:rPr>
        <w:t>14.1 -</w:t>
      </w:r>
      <w:r>
        <w:rPr>
          <w:rFonts w:eastAsia="Verdana" w:cs="Verdana" w:ascii="Verdana" w:hAnsi="Verdana"/>
          <w:sz w:val="18"/>
          <w:szCs w:val="18"/>
        </w:rPr>
        <w:t xml:space="preserve"> Homologada a licitação, será formalizada a Ata de Registro de Preços.</w:t>
      </w:r>
    </w:p>
    <w:p>
      <w:pPr>
        <w:pStyle w:val="Normal"/>
        <w:tabs>
          <w:tab w:val="clear" w:pos="720"/>
          <w:tab w:val="left" w:pos="1134" w:leader="none"/>
          <w:tab w:val="left" w:pos="1287" w:leader="none"/>
          <w:tab w:val="left" w:pos="8647" w:leader="none"/>
        </w:tabs>
        <w:jc w:val="both"/>
        <w:rPr>
          <w:rFonts w:ascii="Verdana" w:hAnsi="Verdana" w:eastAsia="Verdana" w:cs="Verdana"/>
          <w:b/>
          <w:b/>
          <w:sz w:val="18"/>
          <w:szCs w:val="18"/>
        </w:rPr>
      </w:pPr>
      <w:r>
        <w:rPr>
          <w:rFonts w:eastAsia="Verdana" w:cs="Verdana" w:ascii="Verdana" w:hAnsi="Verdana"/>
          <w:b/>
          <w:sz w:val="18"/>
          <w:szCs w:val="18"/>
        </w:rPr>
      </w:r>
    </w:p>
    <w:p>
      <w:pPr>
        <w:pStyle w:val="Normal"/>
        <w:tabs>
          <w:tab w:val="clear" w:pos="720"/>
          <w:tab w:val="left" w:pos="1134" w:leader="none"/>
          <w:tab w:val="left" w:pos="1287" w:leader="none"/>
          <w:tab w:val="left" w:pos="8647" w:leader="none"/>
        </w:tabs>
        <w:jc w:val="both"/>
        <w:rPr>
          <w:rFonts w:ascii="Verdana" w:hAnsi="Verdana" w:eastAsia="Verdana" w:cs="Verdana"/>
          <w:sz w:val="18"/>
          <w:szCs w:val="18"/>
        </w:rPr>
      </w:pPr>
      <w:r>
        <w:rPr>
          <w:rFonts w:eastAsia="Verdana" w:cs="Verdana" w:ascii="Verdana" w:hAnsi="Verdana"/>
          <w:b/>
          <w:sz w:val="18"/>
          <w:szCs w:val="18"/>
        </w:rPr>
        <w:t>14.2</w:t>
      </w:r>
      <w:r>
        <w:rPr>
          <w:rFonts w:eastAsia="Verdana" w:cs="Verdana" w:ascii="Verdana" w:hAnsi="Verdana"/>
          <w:sz w:val="18"/>
          <w:szCs w:val="18"/>
        </w:rPr>
        <w:t xml:space="preserve"> - O PJ/ES convocará formalmente a(s) vencedora(s) para, no prazo de 05 (cinco) dias úteis, proceder à assinatura da Ata de Registro de Preços.</w:t>
      </w:r>
    </w:p>
    <w:p>
      <w:pPr>
        <w:pStyle w:val="Normal"/>
        <w:tabs>
          <w:tab w:val="clear" w:pos="720"/>
          <w:tab w:val="left" w:pos="16866" w:leader="none"/>
          <w:tab w:val="left" w:pos="17019" w:leader="none"/>
          <w:tab w:val="left" w:pos="24379" w:leader="none"/>
        </w:tabs>
        <w:jc w:val="both"/>
        <w:rPr>
          <w:rFonts w:ascii="Verdana" w:hAnsi="Verdana" w:eastAsia="Verdana" w:cs="Verdana"/>
          <w:b/>
          <w:b/>
          <w:sz w:val="18"/>
          <w:szCs w:val="18"/>
        </w:rPr>
      </w:pPr>
      <w:r>
        <w:rPr>
          <w:rFonts w:eastAsia="Verdana" w:cs="Verdana" w:ascii="Verdana" w:hAnsi="Verdana"/>
          <w:b/>
          <w:sz w:val="18"/>
          <w:szCs w:val="18"/>
        </w:rPr>
      </w:r>
    </w:p>
    <w:p>
      <w:pPr>
        <w:pStyle w:val="Normal"/>
        <w:tabs>
          <w:tab w:val="clear" w:pos="720"/>
          <w:tab w:val="left" w:pos="16866" w:leader="none"/>
          <w:tab w:val="left" w:pos="17019" w:leader="none"/>
          <w:tab w:val="left" w:pos="24379" w:leader="none"/>
        </w:tabs>
        <w:ind w:left="284" w:hanging="0"/>
        <w:jc w:val="both"/>
        <w:rPr>
          <w:rFonts w:ascii="Verdana" w:hAnsi="Verdana" w:eastAsia="Verdana" w:cs="Verdana"/>
          <w:sz w:val="18"/>
          <w:szCs w:val="18"/>
        </w:rPr>
      </w:pPr>
      <w:r>
        <w:rPr>
          <w:rFonts w:eastAsia="Verdana" w:cs="Verdana" w:ascii="Verdana" w:hAnsi="Verdana"/>
          <w:b/>
          <w:sz w:val="18"/>
          <w:szCs w:val="18"/>
        </w:rPr>
        <w:t>14.2.1</w:t>
      </w:r>
      <w:r>
        <w:rPr>
          <w:rFonts w:eastAsia="Verdana" w:cs="Verdana" w:ascii="Verdana" w:hAnsi="Verdana"/>
          <w:sz w:val="18"/>
          <w:szCs w:val="18"/>
        </w:rPr>
        <w:t xml:space="preserve"> - Esse prazo poderá ser prorrogado por igual período se, durante o seu transcurso, for solicitado pela licitante convocada, desde que ocorra motivo justificado e aceito pelo PJES.</w:t>
      </w:r>
    </w:p>
    <w:p>
      <w:pPr>
        <w:pStyle w:val="Normal"/>
        <w:tabs>
          <w:tab w:val="clear" w:pos="720"/>
          <w:tab w:val="left" w:pos="16866" w:leader="none"/>
          <w:tab w:val="left" w:pos="17019" w:leader="none"/>
          <w:tab w:val="left" w:pos="24379" w:leader="none"/>
        </w:tabs>
        <w:ind w:left="828" w:hanging="0"/>
        <w:jc w:val="both"/>
        <w:rPr>
          <w:rFonts w:ascii="Verdana" w:hAnsi="Verdana" w:eastAsia="Verdana" w:cs="Verdana"/>
          <w:sz w:val="18"/>
          <w:szCs w:val="18"/>
        </w:rPr>
      </w:pPr>
      <w:r>
        <w:rPr>
          <w:rFonts w:eastAsia="Verdana" w:cs="Verdana" w:ascii="Verdana" w:hAnsi="Verdana"/>
          <w:sz w:val="18"/>
          <w:szCs w:val="18"/>
        </w:rPr>
      </w:r>
    </w:p>
    <w:p>
      <w:pPr>
        <w:pStyle w:val="Normal"/>
        <w:tabs>
          <w:tab w:val="clear" w:pos="720"/>
          <w:tab w:val="left" w:pos="1134" w:leader="none"/>
          <w:tab w:val="left" w:pos="1287" w:leader="none"/>
          <w:tab w:val="left" w:pos="8647" w:leader="none"/>
        </w:tabs>
        <w:jc w:val="both"/>
        <w:rPr>
          <w:rFonts w:ascii="Verdana" w:hAnsi="Verdana" w:eastAsia="Verdana" w:cs="Verdana"/>
          <w:sz w:val="18"/>
          <w:szCs w:val="18"/>
        </w:rPr>
      </w:pPr>
      <w:r>
        <w:rPr>
          <w:rFonts w:eastAsia="Verdana" w:cs="Verdana" w:ascii="Verdana" w:hAnsi="Verdana"/>
          <w:b/>
          <w:sz w:val="18"/>
          <w:szCs w:val="18"/>
        </w:rPr>
        <w:t>14.3</w:t>
      </w:r>
      <w:r>
        <w:rPr>
          <w:rFonts w:eastAsia="Verdana" w:cs="Verdana" w:ascii="Verdana" w:hAnsi="Verdana"/>
          <w:sz w:val="18"/>
          <w:szCs w:val="18"/>
        </w:rPr>
        <w:t xml:space="preserve"> - Na assinatura da Ata de Registro de Preços, será exigida a comprovação das condições de habilitação consignadas no Edital, as quais deverão ser mantidas pela(s) licitante(s) durante a vigência da Ata.</w:t>
      </w:r>
    </w:p>
    <w:p>
      <w:pPr>
        <w:pStyle w:val="Normal"/>
        <w:tabs>
          <w:tab w:val="clear" w:pos="720"/>
          <w:tab w:val="left" w:pos="17717" w:leader="none"/>
        </w:tabs>
        <w:jc w:val="both"/>
        <w:rPr>
          <w:rFonts w:ascii="Verdana" w:hAnsi="Verdana" w:eastAsia="Verdana" w:cs="Verdana"/>
          <w:b/>
          <w:b/>
          <w:sz w:val="18"/>
          <w:szCs w:val="18"/>
        </w:rPr>
      </w:pPr>
      <w:r>
        <w:rPr>
          <w:rFonts w:eastAsia="Verdana" w:cs="Verdana" w:ascii="Verdana" w:hAnsi="Verdana"/>
          <w:b/>
          <w:sz w:val="18"/>
          <w:szCs w:val="18"/>
        </w:rPr>
      </w:r>
    </w:p>
    <w:p>
      <w:pPr>
        <w:pStyle w:val="Normal"/>
        <w:tabs>
          <w:tab w:val="clear" w:pos="720"/>
          <w:tab w:val="left" w:pos="17717" w:leader="none"/>
        </w:tabs>
        <w:ind w:left="284" w:hanging="0"/>
        <w:jc w:val="both"/>
        <w:rPr>
          <w:rFonts w:ascii="Verdana" w:hAnsi="Verdana" w:eastAsia="Verdana" w:cs="Verdana"/>
          <w:sz w:val="18"/>
          <w:szCs w:val="18"/>
        </w:rPr>
      </w:pPr>
      <w:r>
        <w:rPr>
          <w:rFonts w:eastAsia="Verdana" w:cs="Verdana" w:ascii="Verdana" w:hAnsi="Verdana"/>
          <w:b/>
          <w:sz w:val="18"/>
          <w:szCs w:val="18"/>
        </w:rPr>
        <w:t>14.3.1</w:t>
      </w:r>
      <w:r>
        <w:rPr>
          <w:rFonts w:eastAsia="Verdana" w:cs="Verdana" w:ascii="Verdana" w:hAnsi="Verdana"/>
          <w:sz w:val="18"/>
          <w:szCs w:val="18"/>
        </w:rPr>
        <w:t xml:space="preserve"> - Na hipótese de o convocado não assinar a ata de registro de preços no prazo e nas condições estabelecidos no art. 19, observado o disposto no § 3º do art. 18 do Decreto Federal 11.462/2023, fica facultado à Administração convocar os licitantes remanescentes do cadastro de reserva, na ordem de classificação, para fazê-lo em igual prazo e nas condições propostas pelo primeiro classificado.</w:t>
      </w:r>
    </w:p>
    <w:p>
      <w:pPr>
        <w:pStyle w:val="Normal"/>
        <w:pBdr/>
        <w:tabs>
          <w:tab w:val="clear" w:pos="720"/>
          <w:tab w:val="left" w:pos="704" w:leader="none"/>
          <w:tab w:val="left" w:pos="1134" w:leader="none"/>
        </w:tabs>
        <w:ind w:left="284" w:hanging="0"/>
        <w:jc w:val="both"/>
        <w:rPr>
          <w:rFonts w:ascii="Verdana" w:hAnsi="Verdana" w:eastAsia="Verdana" w:cs="Verdana"/>
          <w:b/>
          <w:b/>
          <w:sz w:val="18"/>
          <w:szCs w:val="18"/>
        </w:rPr>
      </w:pPr>
      <w:r>
        <w:rPr>
          <w:rFonts w:eastAsia="Verdana" w:cs="Verdana" w:ascii="Verdana" w:hAnsi="Verdana"/>
          <w:b/>
          <w:sz w:val="18"/>
          <w:szCs w:val="18"/>
        </w:rPr>
      </w:r>
    </w:p>
    <w:p>
      <w:pPr>
        <w:pStyle w:val="Normal"/>
        <w:pBdr/>
        <w:tabs>
          <w:tab w:val="clear" w:pos="720"/>
          <w:tab w:val="left" w:pos="704" w:leader="none"/>
          <w:tab w:val="left" w:pos="1134" w:leader="none"/>
        </w:tabs>
        <w:ind w:left="567" w:hanging="0"/>
        <w:jc w:val="both"/>
        <w:rPr>
          <w:rFonts w:ascii="Verdana" w:hAnsi="Verdana" w:eastAsia="Verdana" w:cs="Verdana"/>
          <w:sz w:val="18"/>
          <w:szCs w:val="18"/>
        </w:rPr>
      </w:pPr>
      <w:r>
        <w:rPr>
          <w:rFonts w:eastAsia="Verdana" w:cs="Verdana" w:ascii="Verdana" w:hAnsi="Verdana"/>
          <w:b/>
          <w:sz w:val="18"/>
          <w:szCs w:val="18"/>
        </w:rPr>
        <w:t>14.3.1.1 -</w:t>
      </w:r>
      <w:r>
        <w:rPr>
          <w:rFonts w:eastAsia="Verdana" w:cs="Verdana" w:ascii="Verdana" w:hAnsi="Verdana"/>
          <w:sz w:val="18"/>
          <w:szCs w:val="18"/>
        </w:rPr>
        <w:t xml:space="preserve"> Na hipótese de nenhum dos licitantes aceitar a contratação nos termos do disposto no item 14.3.1, a Administração, observados o valor estimado e a sua eventual atualização na forma prevista no edital, poderá:</w:t>
      </w:r>
    </w:p>
    <w:p>
      <w:pPr>
        <w:pStyle w:val="Normal"/>
        <w:pBdr/>
        <w:tabs>
          <w:tab w:val="clear" w:pos="720"/>
          <w:tab w:val="left" w:pos="1134" w:leader="none"/>
        </w:tabs>
        <w:ind w:left="851" w:hanging="0"/>
        <w:jc w:val="both"/>
        <w:rPr>
          <w:rFonts w:ascii="Verdana" w:hAnsi="Verdana" w:eastAsia="Verdana" w:cs="Verdana"/>
          <w:sz w:val="18"/>
          <w:szCs w:val="18"/>
        </w:rPr>
      </w:pPr>
      <w:r>
        <w:rPr>
          <w:rFonts w:eastAsia="Verdana" w:cs="Verdana" w:ascii="Verdana" w:hAnsi="Verdana"/>
          <w:b/>
          <w:sz w:val="18"/>
          <w:szCs w:val="18"/>
        </w:rPr>
        <w:t xml:space="preserve">a) </w:t>
      </w:r>
      <w:r>
        <w:rPr>
          <w:rFonts w:eastAsia="Verdana" w:cs="Verdana" w:ascii="Verdana" w:hAnsi="Verdana"/>
          <w:sz w:val="18"/>
          <w:szCs w:val="18"/>
        </w:rPr>
        <w:t>convocar os licitantes de que trata a alínea “b” do inciso II do caput do art. 18 do Decreto Federal 11.462/2023, para negociação, na ordem de classificação, com vistas à obtenção de preço melhor, mesmo que acima do preço do adjudicatário; ou</w:t>
      </w:r>
    </w:p>
    <w:p>
      <w:pPr>
        <w:pStyle w:val="Normal"/>
        <w:pBdr/>
        <w:tabs>
          <w:tab w:val="clear" w:pos="720"/>
          <w:tab w:val="left" w:pos="1134" w:leader="none"/>
        </w:tabs>
        <w:ind w:left="851" w:hanging="0"/>
        <w:jc w:val="both"/>
        <w:rPr>
          <w:rFonts w:ascii="Verdana" w:hAnsi="Verdana" w:eastAsia="Verdana" w:cs="Verdana"/>
          <w:sz w:val="18"/>
          <w:szCs w:val="18"/>
        </w:rPr>
      </w:pPr>
      <w:r>
        <w:rPr>
          <w:rFonts w:eastAsia="Verdana" w:cs="Verdana" w:ascii="Verdana" w:hAnsi="Verdana"/>
          <w:b/>
          <w:sz w:val="18"/>
          <w:szCs w:val="18"/>
        </w:rPr>
        <w:t xml:space="preserve">b) </w:t>
      </w:r>
      <w:r>
        <w:rPr>
          <w:rFonts w:eastAsia="Verdana" w:cs="Verdana" w:ascii="Verdana" w:hAnsi="Verdana"/>
          <w:sz w:val="18"/>
          <w:szCs w:val="18"/>
        </w:rPr>
        <w:t>adjudicar e firmar o contrato nas condições ofertadas pelos licitantes remanescentes, observada a ordem de classificação, quando frustrada a negociação de melhor condição.</w:t>
      </w:r>
    </w:p>
    <w:p>
      <w:pPr>
        <w:pStyle w:val="Normal"/>
        <w:tabs>
          <w:tab w:val="clear" w:pos="720"/>
          <w:tab w:val="left" w:pos="17717" w:leader="none"/>
        </w:tabs>
        <w:ind w:left="284" w:hanging="0"/>
        <w:jc w:val="both"/>
        <w:rPr>
          <w:rFonts w:ascii="Verdana" w:hAnsi="Verdana" w:eastAsia="Verdana" w:cs="Verdana"/>
          <w:b/>
          <w:b/>
          <w:sz w:val="18"/>
          <w:szCs w:val="18"/>
        </w:rPr>
      </w:pPr>
      <w:r>
        <w:rPr>
          <w:rFonts w:eastAsia="Verdana" w:cs="Verdana" w:ascii="Verdana" w:hAnsi="Verdana"/>
          <w:b/>
          <w:sz w:val="18"/>
          <w:szCs w:val="18"/>
        </w:rPr>
      </w:r>
    </w:p>
    <w:p>
      <w:pPr>
        <w:pStyle w:val="Normal"/>
        <w:tabs>
          <w:tab w:val="clear" w:pos="720"/>
          <w:tab w:val="left" w:pos="17717" w:leader="none"/>
        </w:tabs>
        <w:ind w:left="284" w:hanging="0"/>
        <w:jc w:val="both"/>
        <w:rPr>
          <w:rFonts w:ascii="Verdana" w:hAnsi="Verdana" w:eastAsia="Verdana" w:cs="Verdana"/>
          <w:sz w:val="18"/>
          <w:szCs w:val="18"/>
        </w:rPr>
      </w:pPr>
      <w:r>
        <w:rPr>
          <w:rFonts w:eastAsia="Verdana" w:cs="Verdana" w:ascii="Verdana" w:hAnsi="Verdana"/>
          <w:b/>
          <w:sz w:val="18"/>
          <w:szCs w:val="18"/>
        </w:rPr>
        <w:t>14.3.2 -</w:t>
      </w:r>
      <w:r>
        <w:rPr>
          <w:rFonts w:eastAsia="Verdana" w:cs="Verdana" w:ascii="Verdana" w:hAnsi="Verdana"/>
          <w:sz w:val="18"/>
          <w:szCs w:val="18"/>
        </w:rPr>
        <w:t xml:space="preserve"> A previsão do subitem acima não exclui a necessidade de negociação com o licitante convocado visando uma eventual redução do preço ofertado.</w:t>
      </w:r>
    </w:p>
    <w:p>
      <w:pPr>
        <w:pStyle w:val="Normal"/>
        <w:tabs>
          <w:tab w:val="clear" w:pos="720"/>
          <w:tab w:val="left" w:pos="0" w:leader="none"/>
          <w:tab w:val="left" w:pos="704" w:leader="none"/>
          <w:tab w:val="left" w:pos="1134" w:leader="none"/>
        </w:tabs>
        <w:jc w:val="both"/>
        <w:rPr>
          <w:rFonts w:ascii="Verdana" w:hAnsi="Verdana" w:eastAsia="Verdana" w:cs="Verdana"/>
          <w:b/>
          <w:b/>
          <w:sz w:val="18"/>
          <w:szCs w:val="18"/>
        </w:rPr>
      </w:pPr>
      <w:r>
        <w:rPr>
          <w:rFonts w:eastAsia="Verdana" w:cs="Verdana" w:ascii="Verdana" w:hAnsi="Verdana"/>
          <w:b/>
          <w:sz w:val="18"/>
          <w:szCs w:val="18"/>
        </w:rPr>
      </w:r>
    </w:p>
    <w:p>
      <w:pPr>
        <w:pStyle w:val="Normal"/>
        <w:tabs>
          <w:tab w:val="clear" w:pos="720"/>
          <w:tab w:val="left" w:pos="0" w:leader="none"/>
          <w:tab w:val="left" w:pos="704" w:leader="none"/>
          <w:tab w:val="left" w:pos="1134" w:leader="none"/>
        </w:tabs>
        <w:jc w:val="both"/>
        <w:rPr>
          <w:rFonts w:ascii="Verdana" w:hAnsi="Verdana" w:eastAsia="Verdana" w:cs="Verdana"/>
          <w:sz w:val="18"/>
          <w:szCs w:val="18"/>
        </w:rPr>
      </w:pPr>
      <w:r>
        <w:rPr>
          <w:rFonts w:eastAsia="Verdana" w:cs="Verdana" w:ascii="Verdana" w:hAnsi="Verdana"/>
          <w:b/>
          <w:sz w:val="18"/>
          <w:szCs w:val="18"/>
        </w:rPr>
        <w:t xml:space="preserve">14.4 - </w:t>
      </w:r>
      <w:r>
        <w:rPr>
          <w:rFonts w:eastAsia="Verdana" w:cs="Verdana" w:ascii="Verdana" w:hAnsi="Verdana"/>
          <w:sz w:val="18"/>
          <w:szCs w:val="18"/>
        </w:rPr>
        <w:t>Para fins do disposto no Art. 82, inciso IV, da Lei 14.133/2021, não será possível aos licitantes oferecerem proposta em quantitativo inferior ao máximo previsto no edital.</w:t>
      </w:r>
    </w:p>
    <w:p>
      <w:pPr>
        <w:pStyle w:val="Normal"/>
        <w:tabs>
          <w:tab w:val="clear" w:pos="720"/>
          <w:tab w:val="left" w:pos="0" w:leader="none"/>
          <w:tab w:val="left" w:pos="704" w:leader="none"/>
          <w:tab w:val="left" w:pos="1134" w:leader="none"/>
        </w:tabs>
        <w:jc w:val="both"/>
        <w:rPr>
          <w:rFonts w:ascii="Verdana" w:hAnsi="Verdana" w:eastAsia="Verdana" w:cs="Verdana"/>
          <w:b/>
          <w:b/>
          <w:sz w:val="18"/>
          <w:szCs w:val="18"/>
        </w:rPr>
      </w:pPr>
      <w:r>
        <w:rPr>
          <w:rFonts w:eastAsia="Verdana" w:cs="Verdana" w:ascii="Verdana" w:hAnsi="Verdana"/>
          <w:b/>
          <w:sz w:val="18"/>
          <w:szCs w:val="18"/>
        </w:rPr>
      </w:r>
    </w:p>
    <w:p>
      <w:pPr>
        <w:pStyle w:val="Normal"/>
        <w:tabs>
          <w:tab w:val="clear" w:pos="720"/>
          <w:tab w:val="left" w:pos="0" w:leader="none"/>
          <w:tab w:val="left" w:pos="704" w:leader="none"/>
          <w:tab w:val="left" w:pos="1134" w:leader="none"/>
        </w:tabs>
        <w:jc w:val="both"/>
        <w:rPr>
          <w:rFonts w:ascii="Verdana" w:hAnsi="Verdana" w:eastAsia="Verdana" w:cs="Verdana"/>
          <w:sz w:val="18"/>
          <w:szCs w:val="18"/>
        </w:rPr>
      </w:pPr>
      <w:r>
        <w:rPr>
          <w:rFonts w:eastAsia="Verdana" w:cs="Verdana" w:ascii="Verdana" w:hAnsi="Verdana"/>
          <w:b/>
          <w:sz w:val="18"/>
          <w:szCs w:val="18"/>
        </w:rPr>
        <w:t xml:space="preserve">14.5 </w:t>
      </w:r>
      <w:r>
        <w:rPr>
          <w:rFonts w:eastAsia="Verdana" w:cs="Verdana" w:ascii="Verdana" w:hAnsi="Verdana"/>
          <w:sz w:val="18"/>
          <w:szCs w:val="18"/>
        </w:rPr>
        <w:t>-</w:t>
        <w:tab/>
        <w:t>O prazo de vigência da Ata de Registro de Preços será de 1 (um) ano, a contar da data de sua assinatura, e poderá ser prorrogado, por igual período, desde que comprovado o preço vantajoso.</w:t>
      </w:r>
    </w:p>
    <w:p>
      <w:pPr>
        <w:pStyle w:val="Normal"/>
        <w:tabs>
          <w:tab w:val="clear" w:pos="720"/>
          <w:tab w:val="left" w:pos="0" w:leader="none"/>
          <w:tab w:val="left" w:pos="704" w:leader="none"/>
          <w:tab w:val="left" w:pos="1134" w:leader="none"/>
        </w:tabs>
        <w:jc w:val="both"/>
        <w:rPr>
          <w:rFonts w:ascii="Verdana" w:hAnsi="Verdana" w:eastAsia="Verdana" w:cs="Verdana"/>
          <w:sz w:val="18"/>
          <w:szCs w:val="18"/>
        </w:rPr>
      </w:pPr>
      <w:r>
        <w:rPr>
          <w:rFonts w:eastAsia="Verdana" w:cs="Verdana" w:ascii="Verdana" w:hAnsi="Verdana"/>
          <w:sz w:val="18"/>
          <w:szCs w:val="18"/>
        </w:rPr>
      </w:r>
    </w:p>
    <w:p>
      <w:pPr>
        <w:pStyle w:val="Normal"/>
        <w:pBdr/>
        <w:shd w:val="clear" w:color="auto" w:fill="C0C0C0"/>
        <w:jc w:val="both"/>
        <w:rPr>
          <w:rFonts w:ascii="Verdana" w:hAnsi="Verdana" w:eastAsia="Verdana" w:cs="Verdana"/>
          <w:b/>
          <w:b/>
          <w:sz w:val="18"/>
          <w:szCs w:val="18"/>
        </w:rPr>
      </w:pPr>
      <w:r>
        <w:rPr>
          <w:rFonts w:eastAsia="Verdana" w:cs="Verdana" w:ascii="Verdana" w:hAnsi="Verdana"/>
          <w:b/>
          <w:sz w:val="18"/>
          <w:szCs w:val="18"/>
        </w:rPr>
        <w:t>15 - DO CADASTRO DE RESERVA</w:t>
      </w:r>
    </w:p>
    <w:p>
      <w:pPr>
        <w:pStyle w:val="Normal"/>
        <w:tabs>
          <w:tab w:val="clear" w:pos="720"/>
          <w:tab w:val="left" w:pos="1134" w:leader="none"/>
        </w:tabs>
        <w:jc w:val="both"/>
        <w:rPr>
          <w:rFonts w:ascii="Verdana" w:hAnsi="Verdana" w:eastAsia="Verdana" w:cs="Verdana"/>
          <w:b/>
          <w:b/>
          <w:sz w:val="18"/>
          <w:szCs w:val="18"/>
        </w:rPr>
      </w:pPr>
      <w:r>
        <w:rPr>
          <w:rFonts w:eastAsia="Verdana" w:cs="Verdana" w:ascii="Verdana" w:hAnsi="Verdana"/>
          <w:b/>
          <w:sz w:val="18"/>
          <w:szCs w:val="18"/>
        </w:rPr>
      </w:r>
    </w:p>
    <w:p>
      <w:pPr>
        <w:pStyle w:val="Normal"/>
        <w:tabs>
          <w:tab w:val="clear" w:pos="720"/>
          <w:tab w:val="left" w:pos="0" w:leader="none"/>
          <w:tab w:val="left" w:pos="704" w:leader="none"/>
          <w:tab w:val="left" w:pos="1134" w:leader="none"/>
        </w:tabs>
        <w:jc w:val="both"/>
        <w:rPr>
          <w:rFonts w:ascii="Verdana" w:hAnsi="Verdana" w:eastAsia="Verdana" w:cs="Verdana"/>
          <w:sz w:val="18"/>
          <w:szCs w:val="18"/>
        </w:rPr>
      </w:pPr>
      <w:r>
        <w:rPr>
          <w:rFonts w:eastAsia="Verdana" w:cs="Verdana" w:ascii="Verdana" w:hAnsi="Verdana"/>
          <w:b/>
          <w:sz w:val="18"/>
          <w:szCs w:val="18"/>
        </w:rPr>
        <w:t>15.1 -</w:t>
      </w:r>
      <w:r>
        <w:rPr>
          <w:rFonts w:eastAsia="Verdana" w:cs="Verdana" w:ascii="Verdana" w:hAnsi="Verdana"/>
          <w:sz w:val="18"/>
          <w:szCs w:val="18"/>
        </w:rPr>
        <w:t xml:space="preserve">  No momento da homologação, a autoridade competente disporá da ferramenta de formação de Cadastro Reserva (SRP), no Portal de Compras Governamentais (https://www.gov.br/compras).</w:t>
      </w:r>
    </w:p>
    <w:p>
      <w:pPr>
        <w:pStyle w:val="Normal"/>
        <w:tabs>
          <w:tab w:val="clear" w:pos="720"/>
          <w:tab w:val="left" w:pos="0" w:leader="none"/>
          <w:tab w:val="left" w:pos="704" w:leader="none"/>
          <w:tab w:val="left" w:pos="1134" w:leader="none"/>
        </w:tabs>
        <w:jc w:val="both"/>
        <w:rPr>
          <w:rFonts w:ascii="Verdana" w:hAnsi="Verdana" w:eastAsia="Verdana" w:cs="Verdana"/>
          <w:sz w:val="18"/>
          <w:szCs w:val="18"/>
        </w:rPr>
      </w:pPr>
      <w:r>
        <w:rPr>
          <w:rFonts w:eastAsia="Verdana" w:cs="Verdana" w:ascii="Verdana" w:hAnsi="Verdana"/>
          <w:sz w:val="18"/>
          <w:szCs w:val="18"/>
        </w:rPr>
      </w:r>
    </w:p>
    <w:p>
      <w:pPr>
        <w:pStyle w:val="Normal"/>
        <w:tabs>
          <w:tab w:val="clear" w:pos="720"/>
          <w:tab w:val="left" w:pos="704" w:leader="none"/>
          <w:tab w:val="left" w:pos="1134" w:leader="none"/>
        </w:tabs>
        <w:ind w:left="284" w:hanging="0"/>
        <w:jc w:val="both"/>
        <w:rPr>
          <w:rFonts w:ascii="Verdana" w:hAnsi="Verdana" w:eastAsia="Verdana" w:cs="Verdana"/>
          <w:sz w:val="18"/>
          <w:szCs w:val="18"/>
        </w:rPr>
      </w:pPr>
      <w:r>
        <w:rPr>
          <w:rFonts w:eastAsia="Verdana" w:cs="Verdana" w:ascii="Verdana" w:hAnsi="Verdana"/>
          <w:b/>
          <w:sz w:val="18"/>
          <w:szCs w:val="18"/>
        </w:rPr>
        <w:t>15.1.1 -</w:t>
      </w:r>
      <w:r>
        <w:rPr>
          <w:rFonts w:eastAsia="Verdana" w:cs="Verdana" w:ascii="Verdana" w:hAnsi="Verdana"/>
          <w:sz w:val="18"/>
          <w:szCs w:val="18"/>
        </w:rPr>
        <w:t xml:space="preserve"> A Autoridade competente deverá informar, no sistema, uma data/hora fim para o cadastro de reserva (mínimo de 24 h), convocando o(s) fornecedor(es) apto(s) para esse procedimento.</w:t>
      </w:r>
    </w:p>
    <w:p>
      <w:pPr>
        <w:pStyle w:val="Normal"/>
        <w:tabs>
          <w:tab w:val="clear" w:pos="720"/>
          <w:tab w:val="left" w:pos="0" w:leader="none"/>
          <w:tab w:val="left" w:pos="704" w:leader="none"/>
          <w:tab w:val="left" w:pos="1134" w:leader="none"/>
        </w:tabs>
        <w:jc w:val="both"/>
        <w:rPr>
          <w:rFonts w:ascii="Verdana" w:hAnsi="Verdana" w:eastAsia="Verdana" w:cs="Verdana"/>
          <w:sz w:val="18"/>
          <w:szCs w:val="18"/>
        </w:rPr>
      </w:pPr>
      <w:r>
        <w:rPr>
          <w:rFonts w:eastAsia="Verdana" w:cs="Verdana" w:ascii="Verdana" w:hAnsi="Verdana"/>
          <w:sz w:val="18"/>
          <w:szCs w:val="18"/>
        </w:rPr>
      </w:r>
    </w:p>
    <w:p>
      <w:pPr>
        <w:pStyle w:val="Normal"/>
        <w:tabs>
          <w:tab w:val="clear" w:pos="720"/>
          <w:tab w:val="left" w:pos="0" w:leader="none"/>
          <w:tab w:val="left" w:pos="704" w:leader="none"/>
          <w:tab w:val="left" w:pos="1134" w:leader="none"/>
        </w:tabs>
        <w:jc w:val="both"/>
        <w:rPr>
          <w:rFonts w:ascii="Verdana" w:hAnsi="Verdana" w:eastAsia="Verdana" w:cs="Verdana"/>
          <w:sz w:val="18"/>
          <w:szCs w:val="18"/>
        </w:rPr>
      </w:pPr>
      <w:r>
        <w:rPr>
          <w:rFonts w:eastAsia="Verdana" w:cs="Verdana" w:ascii="Verdana" w:hAnsi="Verdana"/>
          <w:b/>
          <w:sz w:val="18"/>
          <w:szCs w:val="18"/>
        </w:rPr>
        <w:t>15.2 -</w:t>
      </w:r>
      <w:r>
        <w:rPr>
          <w:rFonts w:eastAsia="Verdana" w:cs="Verdana" w:ascii="Verdana" w:hAnsi="Verdana"/>
          <w:sz w:val="18"/>
          <w:szCs w:val="18"/>
        </w:rPr>
        <w:t xml:space="preserve"> O Cadastro de Reserva envolverá somente itens com Propostas adjudicadas.</w:t>
      </w:r>
    </w:p>
    <w:p>
      <w:pPr>
        <w:pStyle w:val="Normal"/>
        <w:tabs>
          <w:tab w:val="clear" w:pos="720"/>
          <w:tab w:val="left" w:pos="0" w:leader="none"/>
          <w:tab w:val="left" w:pos="704" w:leader="none"/>
          <w:tab w:val="left" w:pos="1134" w:leader="none"/>
        </w:tabs>
        <w:jc w:val="both"/>
        <w:rPr>
          <w:rFonts w:ascii="Verdana" w:hAnsi="Verdana" w:eastAsia="Verdana" w:cs="Verdana"/>
          <w:sz w:val="18"/>
          <w:szCs w:val="18"/>
        </w:rPr>
      </w:pPr>
      <w:r>
        <w:rPr>
          <w:rFonts w:eastAsia="Verdana" w:cs="Verdana" w:ascii="Verdana" w:hAnsi="Verdana"/>
          <w:sz w:val="18"/>
          <w:szCs w:val="18"/>
        </w:rPr>
      </w:r>
    </w:p>
    <w:p>
      <w:pPr>
        <w:pStyle w:val="Normal"/>
        <w:tabs>
          <w:tab w:val="clear" w:pos="720"/>
          <w:tab w:val="left" w:pos="0" w:leader="none"/>
          <w:tab w:val="left" w:pos="704" w:leader="none"/>
          <w:tab w:val="left" w:pos="1134" w:leader="none"/>
        </w:tabs>
        <w:jc w:val="both"/>
        <w:rPr>
          <w:rFonts w:ascii="Verdana" w:hAnsi="Verdana" w:eastAsia="Verdana" w:cs="Verdana"/>
          <w:sz w:val="18"/>
          <w:szCs w:val="18"/>
        </w:rPr>
      </w:pPr>
      <w:r>
        <w:rPr>
          <w:rFonts w:eastAsia="Verdana" w:cs="Verdana" w:ascii="Verdana" w:hAnsi="Verdana"/>
          <w:b/>
          <w:sz w:val="18"/>
          <w:szCs w:val="18"/>
        </w:rPr>
        <w:t>15.3 -</w:t>
      </w:r>
      <w:r>
        <w:rPr>
          <w:rFonts w:eastAsia="Verdana" w:cs="Verdana" w:ascii="Verdana" w:hAnsi="Verdana"/>
          <w:sz w:val="18"/>
          <w:szCs w:val="18"/>
        </w:rPr>
        <w:t xml:space="preserve"> O sistema deverá enviar um e-mail a todos os fornecedores com propostas NÃO RECUSADAS para que eles possam aderir ao Cadastro de Reserva </w:t>
      </w:r>
      <w:r>
        <w:rPr>
          <w:rFonts w:eastAsia="Verdana" w:cs="Verdana" w:ascii="Verdana" w:hAnsi="Verdana"/>
          <w:b/>
          <w:sz w:val="18"/>
          <w:szCs w:val="18"/>
        </w:rPr>
        <w:t>pelo preço do primeiro colocado</w:t>
      </w:r>
      <w:r>
        <w:rPr>
          <w:rFonts w:eastAsia="Verdana" w:cs="Verdana" w:ascii="Verdana" w:hAnsi="Verdana"/>
          <w:sz w:val="18"/>
          <w:szCs w:val="18"/>
        </w:rPr>
        <w:t>, desconsiderando margem de preferência (exceto para o fornecedor vencedor do item).</w:t>
      </w:r>
    </w:p>
    <w:p>
      <w:pPr>
        <w:pStyle w:val="Normal"/>
        <w:tabs>
          <w:tab w:val="clear" w:pos="720"/>
          <w:tab w:val="left" w:pos="0" w:leader="none"/>
          <w:tab w:val="left" w:pos="704" w:leader="none"/>
          <w:tab w:val="left" w:pos="1134" w:leader="none"/>
        </w:tabs>
        <w:jc w:val="both"/>
        <w:rPr>
          <w:rFonts w:ascii="Verdana" w:hAnsi="Verdana" w:eastAsia="Verdana" w:cs="Verdana"/>
          <w:sz w:val="18"/>
          <w:szCs w:val="18"/>
        </w:rPr>
      </w:pPr>
      <w:r>
        <w:rPr>
          <w:rFonts w:eastAsia="Verdana" w:cs="Verdana" w:ascii="Verdana" w:hAnsi="Verdana"/>
          <w:sz w:val="18"/>
          <w:szCs w:val="18"/>
        </w:rPr>
      </w:r>
    </w:p>
    <w:p>
      <w:pPr>
        <w:pStyle w:val="Normal"/>
        <w:tabs>
          <w:tab w:val="clear" w:pos="720"/>
          <w:tab w:val="left" w:pos="704" w:leader="none"/>
          <w:tab w:val="left" w:pos="1134" w:leader="none"/>
        </w:tabs>
        <w:ind w:left="284" w:hanging="0"/>
        <w:jc w:val="both"/>
        <w:rPr>
          <w:rFonts w:ascii="Verdana" w:hAnsi="Verdana" w:eastAsia="Verdana" w:cs="Verdana"/>
          <w:sz w:val="18"/>
          <w:szCs w:val="18"/>
        </w:rPr>
      </w:pPr>
      <w:r>
        <w:rPr>
          <w:rFonts w:eastAsia="Verdana" w:cs="Verdana" w:ascii="Verdana" w:hAnsi="Verdana"/>
          <w:b/>
          <w:sz w:val="18"/>
          <w:szCs w:val="18"/>
        </w:rPr>
        <w:t>15.3.1</w:t>
      </w:r>
      <w:r>
        <w:rPr>
          <w:rFonts w:eastAsia="Verdana" w:cs="Verdana" w:ascii="Verdana" w:hAnsi="Verdana"/>
          <w:sz w:val="18"/>
          <w:szCs w:val="18"/>
        </w:rPr>
        <w:t xml:space="preserve"> O(s) fornecedor(es) que tiver(em) o interesse em aderir ao Cadastro reserva, observará(ão), no sistema, os seguintes passos:</w:t>
      </w:r>
    </w:p>
    <w:p>
      <w:pPr>
        <w:pStyle w:val="Normal"/>
        <w:tabs>
          <w:tab w:val="clear" w:pos="720"/>
          <w:tab w:val="left" w:pos="704" w:leader="none"/>
          <w:tab w:val="left" w:pos="1134" w:leader="none"/>
        </w:tabs>
        <w:ind w:left="567" w:hanging="0"/>
        <w:jc w:val="both"/>
        <w:rPr>
          <w:rFonts w:ascii="Verdana" w:hAnsi="Verdana" w:eastAsia="Verdana" w:cs="Verdana"/>
          <w:sz w:val="18"/>
          <w:szCs w:val="18"/>
        </w:rPr>
      </w:pPr>
      <w:r>
        <w:rPr>
          <w:rFonts w:eastAsia="Verdana" w:cs="Verdana" w:ascii="Verdana" w:hAnsi="Verdana"/>
          <w:b/>
          <w:sz w:val="18"/>
          <w:szCs w:val="18"/>
        </w:rPr>
        <w:t>a)</w:t>
      </w:r>
      <w:r>
        <w:rPr>
          <w:rFonts w:eastAsia="Verdana" w:cs="Verdana" w:ascii="Verdana" w:hAnsi="Verdana"/>
          <w:sz w:val="18"/>
          <w:szCs w:val="18"/>
        </w:rPr>
        <w:t xml:space="preserve"> o sistema apresentará a licitação apta ao Cadastro de Reserva do fornecedor;</w:t>
      </w:r>
    </w:p>
    <w:p>
      <w:pPr>
        <w:pStyle w:val="Normal"/>
        <w:tabs>
          <w:tab w:val="clear" w:pos="720"/>
          <w:tab w:val="left" w:pos="704" w:leader="none"/>
          <w:tab w:val="left" w:pos="1134" w:leader="none"/>
        </w:tabs>
        <w:ind w:left="567" w:hanging="0"/>
        <w:jc w:val="both"/>
        <w:rPr>
          <w:rFonts w:ascii="Verdana" w:hAnsi="Verdana" w:eastAsia="Verdana" w:cs="Verdana"/>
          <w:sz w:val="18"/>
          <w:szCs w:val="18"/>
        </w:rPr>
      </w:pPr>
      <w:r>
        <w:rPr>
          <w:rFonts w:eastAsia="Verdana" w:cs="Verdana" w:ascii="Verdana" w:hAnsi="Verdana"/>
          <w:b/>
          <w:sz w:val="18"/>
          <w:szCs w:val="18"/>
        </w:rPr>
        <w:t>b)</w:t>
      </w:r>
      <w:r>
        <w:rPr>
          <w:rFonts w:eastAsia="Verdana" w:cs="Verdana" w:ascii="Verdana" w:hAnsi="Verdana"/>
          <w:sz w:val="18"/>
          <w:szCs w:val="18"/>
        </w:rPr>
        <w:t xml:space="preserve"> o fornecedor deverá selecionar a licitação e registrar intenção de participar do Cadastro de Reserva;</w:t>
      </w:r>
    </w:p>
    <w:p>
      <w:pPr>
        <w:pStyle w:val="Normal"/>
        <w:tabs>
          <w:tab w:val="clear" w:pos="720"/>
          <w:tab w:val="left" w:pos="704" w:leader="none"/>
          <w:tab w:val="left" w:pos="1134" w:leader="none"/>
        </w:tabs>
        <w:ind w:left="567" w:hanging="0"/>
        <w:jc w:val="both"/>
        <w:rPr>
          <w:rFonts w:ascii="Verdana" w:hAnsi="Verdana" w:eastAsia="Verdana" w:cs="Verdana"/>
          <w:sz w:val="18"/>
          <w:szCs w:val="18"/>
        </w:rPr>
      </w:pPr>
      <w:r>
        <w:rPr>
          <w:rFonts w:eastAsia="Verdana" w:cs="Verdana" w:ascii="Verdana" w:hAnsi="Verdana"/>
          <w:b/>
          <w:sz w:val="18"/>
          <w:szCs w:val="18"/>
        </w:rPr>
        <w:t>c)</w:t>
      </w:r>
      <w:r>
        <w:rPr>
          <w:rFonts w:eastAsia="Verdana" w:cs="Verdana" w:ascii="Verdana" w:hAnsi="Verdana"/>
          <w:sz w:val="18"/>
          <w:szCs w:val="18"/>
        </w:rPr>
        <w:t xml:space="preserve"> o sistema apresentará uma lista com os itens aptos ao Cadastro de Reserva pelo fornecedor;</w:t>
      </w:r>
    </w:p>
    <w:p>
      <w:pPr>
        <w:pStyle w:val="Normal"/>
        <w:tabs>
          <w:tab w:val="clear" w:pos="720"/>
          <w:tab w:val="left" w:pos="704" w:leader="none"/>
          <w:tab w:val="left" w:pos="1134" w:leader="none"/>
        </w:tabs>
        <w:ind w:left="567" w:hanging="0"/>
        <w:jc w:val="both"/>
        <w:rPr>
          <w:rFonts w:ascii="Verdana" w:hAnsi="Verdana" w:eastAsia="Verdana" w:cs="Verdana"/>
          <w:sz w:val="18"/>
          <w:szCs w:val="18"/>
        </w:rPr>
      </w:pPr>
      <w:r>
        <w:rPr>
          <w:rFonts w:eastAsia="Verdana" w:cs="Verdana" w:ascii="Verdana" w:hAnsi="Verdana"/>
          <w:b/>
          <w:sz w:val="18"/>
          <w:szCs w:val="18"/>
        </w:rPr>
        <w:t>d)</w:t>
      </w:r>
      <w:r>
        <w:rPr>
          <w:rFonts w:eastAsia="Verdana" w:cs="Verdana" w:ascii="Verdana" w:hAnsi="Verdana"/>
          <w:sz w:val="18"/>
          <w:szCs w:val="18"/>
        </w:rPr>
        <w:t xml:space="preserve"> após a seleção e confirmação pelo fornecedor, o sistema apresentará uma mensagem de confirmação indicando que o fornecedor aceita executar os serviços na quantidade ofertada por ele aos preços do Cadastro de Reserva;</w:t>
      </w:r>
    </w:p>
    <w:p>
      <w:pPr>
        <w:pStyle w:val="Normal"/>
        <w:tabs>
          <w:tab w:val="clear" w:pos="720"/>
          <w:tab w:val="left" w:pos="704" w:leader="none"/>
          <w:tab w:val="left" w:pos="1134" w:leader="none"/>
        </w:tabs>
        <w:ind w:left="567" w:hanging="0"/>
        <w:jc w:val="both"/>
        <w:rPr>
          <w:rFonts w:ascii="Verdana" w:hAnsi="Verdana" w:eastAsia="Verdana" w:cs="Verdana"/>
          <w:sz w:val="18"/>
          <w:szCs w:val="18"/>
        </w:rPr>
      </w:pPr>
      <w:r>
        <w:rPr>
          <w:rFonts w:eastAsia="Verdana" w:cs="Verdana" w:ascii="Verdana" w:hAnsi="Verdana"/>
          <w:b/>
          <w:sz w:val="18"/>
          <w:szCs w:val="18"/>
        </w:rPr>
        <w:t>e)</w:t>
      </w:r>
      <w:r>
        <w:rPr>
          <w:rFonts w:eastAsia="Verdana" w:cs="Verdana" w:ascii="Verdana" w:hAnsi="Verdana"/>
          <w:sz w:val="18"/>
          <w:szCs w:val="18"/>
        </w:rPr>
        <w:t xml:space="preserve"> o fornecedor confirmará e passará a fazer parte do Cadastro de Reserva do item selecionado;</w:t>
      </w:r>
    </w:p>
    <w:p>
      <w:pPr>
        <w:pStyle w:val="Normal"/>
        <w:tabs>
          <w:tab w:val="clear" w:pos="720"/>
          <w:tab w:val="left" w:pos="704" w:leader="none"/>
          <w:tab w:val="left" w:pos="1134" w:leader="none"/>
        </w:tabs>
        <w:ind w:left="567" w:hanging="0"/>
        <w:jc w:val="both"/>
        <w:rPr>
          <w:rFonts w:ascii="Verdana" w:hAnsi="Verdana" w:eastAsia="Verdana" w:cs="Verdana"/>
          <w:sz w:val="18"/>
          <w:szCs w:val="18"/>
        </w:rPr>
      </w:pPr>
      <w:r>
        <w:rPr>
          <w:rFonts w:eastAsia="Verdana" w:cs="Verdana" w:ascii="Verdana" w:hAnsi="Verdana"/>
          <w:b/>
          <w:sz w:val="18"/>
          <w:szCs w:val="18"/>
        </w:rPr>
        <w:t>f)</w:t>
      </w:r>
      <w:r>
        <w:rPr>
          <w:rFonts w:eastAsia="Verdana" w:cs="Verdana" w:ascii="Verdana" w:hAnsi="Verdana"/>
          <w:sz w:val="18"/>
          <w:szCs w:val="18"/>
        </w:rPr>
        <w:t xml:space="preserve"> o registro da operação será gravado no sistema.</w:t>
      </w:r>
    </w:p>
    <w:p>
      <w:pPr>
        <w:pStyle w:val="Normal"/>
        <w:tabs>
          <w:tab w:val="clear" w:pos="720"/>
          <w:tab w:val="left" w:pos="0" w:leader="none"/>
          <w:tab w:val="left" w:pos="704" w:leader="none"/>
          <w:tab w:val="left" w:pos="1134" w:leader="none"/>
        </w:tabs>
        <w:ind w:left="284" w:hanging="0"/>
        <w:jc w:val="both"/>
        <w:rPr>
          <w:rFonts w:ascii="Verdana" w:hAnsi="Verdana" w:eastAsia="Verdana" w:cs="Verdana"/>
          <w:sz w:val="18"/>
          <w:szCs w:val="18"/>
        </w:rPr>
      </w:pPr>
      <w:r>
        <w:rPr>
          <w:rFonts w:eastAsia="Verdana" w:cs="Verdana" w:ascii="Verdana" w:hAnsi="Verdana"/>
          <w:sz w:val="18"/>
          <w:szCs w:val="18"/>
        </w:rPr>
      </w:r>
    </w:p>
    <w:p>
      <w:pPr>
        <w:pStyle w:val="Normal"/>
        <w:tabs>
          <w:tab w:val="clear" w:pos="720"/>
          <w:tab w:val="left" w:pos="0" w:leader="none"/>
          <w:tab w:val="left" w:pos="704" w:leader="none"/>
          <w:tab w:val="left" w:pos="1134" w:leader="none"/>
        </w:tabs>
        <w:jc w:val="both"/>
        <w:rPr>
          <w:rFonts w:ascii="Verdana" w:hAnsi="Verdana" w:eastAsia="Verdana" w:cs="Verdana"/>
          <w:sz w:val="18"/>
          <w:szCs w:val="18"/>
        </w:rPr>
      </w:pPr>
      <w:r>
        <w:rPr>
          <w:rFonts w:eastAsia="Verdana" w:cs="Verdana" w:ascii="Verdana" w:hAnsi="Verdana"/>
          <w:b/>
          <w:sz w:val="18"/>
          <w:szCs w:val="18"/>
        </w:rPr>
        <w:t>15.4 -</w:t>
      </w:r>
      <w:r>
        <w:rPr>
          <w:rFonts w:eastAsia="Verdana" w:cs="Verdana" w:ascii="Verdana" w:hAnsi="Verdana"/>
          <w:sz w:val="18"/>
          <w:szCs w:val="18"/>
        </w:rPr>
        <w:t xml:space="preserve"> Na homologação, antes de solicitar a Data/Hora do Cadastro de Reserva, o sistema verificará se há ou não fornecedores aptos ao Cadastro de Reserva.</w:t>
      </w:r>
    </w:p>
    <w:p>
      <w:pPr>
        <w:pStyle w:val="Normal"/>
        <w:tabs>
          <w:tab w:val="clear" w:pos="720"/>
          <w:tab w:val="left" w:pos="0" w:leader="none"/>
          <w:tab w:val="left" w:pos="704" w:leader="none"/>
          <w:tab w:val="left" w:pos="1134" w:leader="none"/>
        </w:tabs>
        <w:jc w:val="both"/>
        <w:rPr>
          <w:rFonts w:ascii="Verdana" w:hAnsi="Verdana" w:eastAsia="Verdana" w:cs="Verdana"/>
          <w:sz w:val="18"/>
          <w:szCs w:val="18"/>
        </w:rPr>
      </w:pPr>
      <w:r>
        <w:rPr>
          <w:rFonts w:eastAsia="Verdana" w:cs="Verdana" w:ascii="Verdana" w:hAnsi="Verdana"/>
          <w:sz w:val="18"/>
          <w:szCs w:val="18"/>
        </w:rPr>
      </w:r>
    </w:p>
    <w:p>
      <w:pPr>
        <w:pStyle w:val="Normal"/>
        <w:tabs>
          <w:tab w:val="clear" w:pos="720"/>
          <w:tab w:val="left" w:pos="0" w:leader="none"/>
          <w:tab w:val="left" w:pos="704" w:leader="none"/>
          <w:tab w:val="left" w:pos="1134" w:leader="none"/>
        </w:tabs>
        <w:jc w:val="both"/>
        <w:rPr>
          <w:rFonts w:ascii="Verdana" w:hAnsi="Verdana" w:eastAsia="Verdana" w:cs="Verdana"/>
          <w:sz w:val="18"/>
          <w:szCs w:val="18"/>
        </w:rPr>
      </w:pPr>
      <w:r>
        <w:rPr>
          <w:rFonts w:eastAsia="Verdana" w:cs="Verdana" w:ascii="Verdana" w:hAnsi="Verdana"/>
          <w:b/>
          <w:sz w:val="18"/>
          <w:szCs w:val="18"/>
        </w:rPr>
        <w:t>15.5 -</w:t>
      </w:r>
      <w:r>
        <w:rPr>
          <w:rFonts w:eastAsia="Verdana" w:cs="Verdana" w:ascii="Verdana" w:hAnsi="Verdana"/>
          <w:sz w:val="18"/>
          <w:szCs w:val="18"/>
        </w:rPr>
        <w:t xml:space="preserve"> Se não houver nenhum fornecedor apto, o sistema apresentará uma mensagem de alerta para a autoridade competente, informando que não houve a formação de Cadastro de Reserva.</w:t>
      </w:r>
    </w:p>
    <w:p>
      <w:pPr>
        <w:pStyle w:val="Normal"/>
        <w:tabs>
          <w:tab w:val="clear" w:pos="720"/>
          <w:tab w:val="left" w:pos="0" w:leader="none"/>
          <w:tab w:val="left" w:pos="704" w:leader="none"/>
          <w:tab w:val="left" w:pos="1134" w:leader="none"/>
        </w:tabs>
        <w:jc w:val="both"/>
        <w:rPr>
          <w:rFonts w:ascii="Verdana" w:hAnsi="Verdana" w:eastAsia="Verdana" w:cs="Verdana"/>
          <w:sz w:val="18"/>
          <w:szCs w:val="18"/>
        </w:rPr>
      </w:pPr>
      <w:r>
        <w:rPr>
          <w:rFonts w:eastAsia="Verdana" w:cs="Verdana" w:ascii="Verdana" w:hAnsi="Verdana"/>
          <w:sz w:val="18"/>
          <w:szCs w:val="18"/>
        </w:rPr>
      </w:r>
    </w:p>
    <w:p>
      <w:pPr>
        <w:pStyle w:val="Normal"/>
        <w:tabs>
          <w:tab w:val="clear" w:pos="720"/>
          <w:tab w:val="left" w:pos="0" w:leader="none"/>
          <w:tab w:val="left" w:pos="704" w:leader="none"/>
          <w:tab w:val="left" w:pos="1134" w:leader="none"/>
        </w:tabs>
        <w:jc w:val="both"/>
        <w:rPr>
          <w:rFonts w:ascii="Verdana" w:hAnsi="Verdana" w:eastAsia="Verdana" w:cs="Verdana"/>
          <w:sz w:val="18"/>
          <w:szCs w:val="18"/>
        </w:rPr>
      </w:pPr>
      <w:r>
        <w:rPr>
          <w:rFonts w:eastAsia="Verdana" w:cs="Verdana" w:ascii="Verdana" w:hAnsi="Verdana"/>
          <w:b/>
          <w:sz w:val="18"/>
          <w:szCs w:val="18"/>
        </w:rPr>
        <w:t>15.6 -</w:t>
      </w:r>
      <w:r>
        <w:rPr>
          <w:rFonts w:eastAsia="Verdana" w:cs="Verdana" w:ascii="Verdana" w:hAnsi="Verdana"/>
          <w:sz w:val="18"/>
          <w:szCs w:val="18"/>
        </w:rPr>
        <w:t xml:space="preserve"> A autoridade competente deverá realizar a gestão do Cadastro de Reserva, enviando ao SIASG informações referente ao detalhamento desse procedimento.</w:t>
      </w:r>
    </w:p>
    <w:p>
      <w:pPr>
        <w:pStyle w:val="Normal"/>
        <w:tabs>
          <w:tab w:val="clear" w:pos="720"/>
          <w:tab w:val="left" w:pos="0" w:leader="none"/>
          <w:tab w:val="left" w:pos="704" w:leader="none"/>
          <w:tab w:val="left" w:pos="1134" w:leader="none"/>
        </w:tabs>
        <w:jc w:val="both"/>
        <w:rPr>
          <w:rFonts w:ascii="Verdana" w:hAnsi="Verdana" w:eastAsia="Verdana" w:cs="Verdana"/>
          <w:sz w:val="18"/>
          <w:szCs w:val="18"/>
        </w:rPr>
      </w:pPr>
      <w:r>
        <w:rPr>
          <w:rFonts w:eastAsia="Verdana" w:cs="Verdana" w:ascii="Verdana" w:hAnsi="Verdana"/>
          <w:sz w:val="18"/>
          <w:szCs w:val="18"/>
        </w:rPr>
      </w:r>
    </w:p>
    <w:p>
      <w:pPr>
        <w:pStyle w:val="Normal"/>
        <w:tabs>
          <w:tab w:val="clear" w:pos="720"/>
          <w:tab w:val="left" w:pos="0" w:leader="none"/>
          <w:tab w:val="left" w:pos="704" w:leader="none"/>
          <w:tab w:val="left" w:pos="1134" w:leader="none"/>
        </w:tabs>
        <w:jc w:val="both"/>
        <w:rPr>
          <w:rFonts w:ascii="Verdana" w:hAnsi="Verdana" w:eastAsia="Verdana" w:cs="Verdana"/>
          <w:sz w:val="18"/>
          <w:szCs w:val="18"/>
        </w:rPr>
      </w:pPr>
      <w:r>
        <w:rPr>
          <w:rFonts w:eastAsia="Verdana" w:cs="Verdana" w:ascii="Verdana" w:hAnsi="Verdana"/>
          <w:b/>
          <w:sz w:val="18"/>
          <w:szCs w:val="18"/>
        </w:rPr>
        <w:t>15.7 -</w:t>
      </w:r>
      <w:r>
        <w:rPr>
          <w:rFonts w:eastAsia="Verdana" w:cs="Verdana" w:ascii="Verdana" w:hAnsi="Verdana"/>
          <w:sz w:val="18"/>
          <w:szCs w:val="18"/>
        </w:rPr>
        <w:t xml:space="preserve"> O Cadastro de Reserva poderá ser visualizado por qualquer cidadão na consulta pública de visualização de ata no Portal de Compras do Governo Federal (https://www.gov.br/compras).</w:t>
      </w:r>
    </w:p>
    <w:p>
      <w:pPr>
        <w:pStyle w:val="Normal"/>
        <w:shd w:val="clear" w:color="auto" w:fill="FFFFFF"/>
        <w:jc w:val="both"/>
        <w:rPr>
          <w:rFonts w:ascii="Verdana" w:hAnsi="Verdana" w:eastAsia="Verdana" w:cs="Verdana"/>
          <w:b/>
          <w:b/>
          <w:sz w:val="18"/>
          <w:szCs w:val="18"/>
        </w:rPr>
      </w:pPr>
      <w:r>
        <w:rPr>
          <w:rFonts w:eastAsia="Verdana" w:cs="Verdana" w:ascii="Verdana" w:hAnsi="Verdana"/>
          <w:b/>
          <w:sz w:val="18"/>
          <w:szCs w:val="18"/>
        </w:rPr>
      </w:r>
    </w:p>
    <w:p>
      <w:pPr>
        <w:pStyle w:val="Normal"/>
        <w:pBdr/>
        <w:shd w:val="clear" w:color="auto" w:fill="C0C0C0"/>
        <w:tabs>
          <w:tab w:val="clear" w:pos="720"/>
          <w:tab w:val="left" w:pos="1134" w:leader="none"/>
          <w:tab w:val="left" w:pos="2268" w:leader="none"/>
          <w:tab w:val="left" w:pos="3402" w:leader="none"/>
          <w:tab w:val="left" w:pos="4536" w:leader="none"/>
          <w:tab w:val="left" w:pos="5670" w:leader="none"/>
          <w:tab w:val="left" w:pos="6804" w:leader="none"/>
          <w:tab w:val="left" w:pos="7938" w:leader="none"/>
          <w:tab w:val="left" w:pos="9072" w:leader="none"/>
          <w:tab w:val="left" w:pos="10206" w:leader="none"/>
          <w:tab w:val="left" w:pos="11340" w:leader="none"/>
        </w:tabs>
        <w:jc w:val="both"/>
        <w:rPr>
          <w:rFonts w:ascii="Verdana" w:hAnsi="Verdana" w:eastAsia="Verdana" w:cs="Verdana"/>
          <w:b/>
          <w:b/>
          <w:sz w:val="18"/>
          <w:szCs w:val="18"/>
        </w:rPr>
      </w:pPr>
      <w:r>
        <w:rPr>
          <w:rFonts w:eastAsia="Verdana" w:cs="Verdana" w:ascii="Verdana" w:hAnsi="Verdana"/>
          <w:b/>
          <w:sz w:val="18"/>
          <w:szCs w:val="18"/>
        </w:rPr>
        <w:t>16 - DA DOTAÇÃO</w:t>
      </w:r>
    </w:p>
    <w:p>
      <w:pPr>
        <w:pStyle w:val="Normal"/>
        <w:pBdr/>
        <w:tabs>
          <w:tab w:val="clear" w:pos="720"/>
          <w:tab w:val="left" w:pos="1134" w:leader="none"/>
          <w:tab w:val="left" w:pos="2268" w:leader="none"/>
          <w:tab w:val="left" w:pos="3402" w:leader="none"/>
          <w:tab w:val="left" w:pos="4536" w:leader="none"/>
          <w:tab w:val="left" w:pos="5670" w:leader="none"/>
          <w:tab w:val="left" w:pos="6804" w:leader="none"/>
          <w:tab w:val="left" w:pos="7938" w:leader="none"/>
          <w:tab w:val="left" w:pos="9072" w:leader="none"/>
          <w:tab w:val="left" w:pos="10206" w:leader="none"/>
          <w:tab w:val="left" w:pos="11340" w:leader="none"/>
        </w:tabs>
        <w:jc w:val="both"/>
        <w:rPr>
          <w:rFonts w:ascii="Verdana" w:hAnsi="Verdana" w:eastAsia="Verdana" w:cs="Verdana"/>
          <w:b/>
          <w:b/>
          <w:sz w:val="18"/>
          <w:szCs w:val="18"/>
        </w:rPr>
      </w:pPr>
      <w:r>
        <w:rPr>
          <w:rFonts w:eastAsia="Verdana" w:cs="Verdana" w:ascii="Verdana" w:hAnsi="Verdana"/>
          <w:b/>
          <w:sz w:val="18"/>
          <w:szCs w:val="18"/>
        </w:rPr>
      </w:r>
    </w:p>
    <w:p>
      <w:pPr>
        <w:pStyle w:val="Normal"/>
        <w:pBdr/>
        <w:tabs>
          <w:tab w:val="clear" w:pos="720"/>
          <w:tab w:val="left" w:pos="1134" w:leader="none"/>
          <w:tab w:val="left" w:pos="2268" w:leader="none"/>
          <w:tab w:val="left" w:pos="3402" w:leader="none"/>
          <w:tab w:val="left" w:pos="4536" w:leader="none"/>
          <w:tab w:val="left" w:pos="5670" w:leader="none"/>
          <w:tab w:val="left" w:pos="6804" w:leader="none"/>
          <w:tab w:val="left" w:pos="7938" w:leader="none"/>
          <w:tab w:val="left" w:pos="9072" w:leader="none"/>
          <w:tab w:val="left" w:pos="10206" w:leader="none"/>
          <w:tab w:val="left" w:pos="11340" w:leader="none"/>
        </w:tabs>
        <w:jc w:val="both"/>
        <w:rPr>
          <w:rFonts w:ascii="Verdana" w:hAnsi="Verdana" w:eastAsia="Verdana" w:cs="Verdana"/>
          <w:b/>
          <w:b/>
          <w:sz w:val="18"/>
          <w:szCs w:val="18"/>
        </w:rPr>
      </w:pPr>
      <w:r>
        <w:rPr>
          <w:rFonts w:eastAsia="Verdana" w:cs="Verdana" w:ascii="Verdana" w:hAnsi="Verdana"/>
          <w:b/>
          <w:sz w:val="18"/>
          <w:szCs w:val="18"/>
        </w:rPr>
        <w:t>16.1</w:t>
      </w:r>
      <w:r>
        <w:rPr>
          <w:rFonts w:eastAsia="Verdana" w:cs="Verdana" w:ascii="Verdana" w:hAnsi="Verdana"/>
          <w:sz w:val="18"/>
          <w:szCs w:val="18"/>
        </w:rPr>
        <w:t xml:space="preserve"> - As despesas decorrentes do objeto desta licitação correrão por conta de recursos próprios do PJ/ES alocados na Atividade: </w:t>
      </w:r>
      <w:r>
        <w:rPr>
          <w:rFonts w:eastAsia="Verdana" w:cs="Verdana" w:ascii="Verdana" w:hAnsi="Verdana"/>
          <w:b/>
          <w:sz w:val="18"/>
          <w:szCs w:val="18"/>
        </w:rPr>
        <w:t>10.03.901.02.061.0023.2078</w:t>
      </w:r>
      <w:r>
        <w:rPr>
          <w:rFonts w:eastAsia="Verdana" w:cs="Verdana" w:ascii="Verdana" w:hAnsi="Verdana"/>
          <w:sz w:val="18"/>
          <w:szCs w:val="18"/>
        </w:rPr>
        <w:t xml:space="preserve">, Elementos de Despesa: </w:t>
      </w:r>
      <w:r>
        <w:rPr>
          <w:rFonts w:eastAsia="Verdana" w:cs="Verdana" w:ascii="Verdana" w:hAnsi="Verdana"/>
          <w:b/>
          <w:sz w:val="18"/>
          <w:szCs w:val="18"/>
        </w:rPr>
        <w:t>3.3.90.30.24 /</w:t>
      </w:r>
      <w:r>
        <w:rPr>
          <w:rFonts w:eastAsia="Verdana" w:cs="Verdana" w:ascii="Verdana" w:hAnsi="Verdana"/>
          <w:sz w:val="18"/>
          <w:szCs w:val="18"/>
        </w:rPr>
        <w:t xml:space="preserve"> </w:t>
      </w:r>
      <w:r>
        <w:rPr>
          <w:rFonts w:eastAsia="Verdana" w:cs="Verdana" w:ascii="Verdana" w:hAnsi="Verdana"/>
          <w:b/>
          <w:sz w:val="18"/>
          <w:szCs w:val="18"/>
        </w:rPr>
        <w:t xml:space="preserve">4.4.90.52.51 / 3.3.90.39.16, </w:t>
      </w:r>
      <w:r>
        <w:rPr>
          <w:rFonts w:eastAsia="Verdana" w:cs="Verdana" w:ascii="Verdana" w:hAnsi="Verdana"/>
          <w:sz w:val="18"/>
          <w:szCs w:val="18"/>
        </w:rPr>
        <w:t xml:space="preserve">consignados no </w:t>
      </w:r>
      <w:r>
        <w:rPr>
          <w:rFonts w:eastAsia="Verdana" w:cs="Verdana" w:ascii="Verdana" w:hAnsi="Verdana"/>
          <w:b/>
          <w:sz w:val="18"/>
          <w:szCs w:val="18"/>
        </w:rPr>
        <w:t>Fundo Especial do Poder Judiciário - FUNEPJ.</w:t>
      </w:r>
    </w:p>
    <w:p>
      <w:pPr>
        <w:pStyle w:val="Normal"/>
        <w:pBdr/>
        <w:tabs>
          <w:tab w:val="clear" w:pos="720"/>
          <w:tab w:val="left" w:pos="1134" w:leader="none"/>
          <w:tab w:val="left" w:pos="2268" w:leader="none"/>
          <w:tab w:val="left" w:pos="3402" w:leader="none"/>
          <w:tab w:val="left" w:pos="4536" w:leader="none"/>
          <w:tab w:val="left" w:pos="5670" w:leader="none"/>
          <w:tab w:val="left" w:pos="6804" w:leader="none"/>
          <w:tab w:val="left" w:pos="7938" w:leader="none"/>
          <w:tab w:val="left" w:pos="9072" w:leader="none"/>
          <w:tab w:val="left" w:pos="10206" w:leader="none"/>
          <w:tab w:val="left" w:pos="11340" w:leader="none"/>
        </w:tabs>
        <w:jc w:val="both"/>
        <w:rPr>
          <w:rFonts w:ascii="Verdana" w:hAnsi="Verdana" w:eastAsia="Verdana" w:cs="Verdana"/>
          <w:b/>
          <w:b/>
          <w:sz w:val="18"/>
          <w:szCs w:val="18"/>
        </w:rPr>
      </w:pPr>
      <w:r>
        <w:rPr>
          <w:rFonts w:eastAsia="Verdana" w:cs="Verdana" w:ascii="Verdana" w:hAnsi="Verdana"/>
          <w:b/>
          <w:sz w:val="18"/>
          <w:szCs w:val="18"/>
        </w:rPr>
      </w:r>
    </w:p>
    <w:p>
      <w:pPr>
        <w:pStyle w:val="Normal"/>
        <w:pBdr/>
        <w:shd w:val="clear" w:color="auto" w:fill="C0C0C0"/>
        <w:tabs>
          <w:tab w:val="clear" w:pos="720"/>
          <w:tab w:val="left" w:pos="0" w:leader="none"/>
        </w:tabs>
        <w:jc w:val="both"/>
        <w:rPr>
          <w:rFonts w:ascii="Verdana" w:hAnsi="Verdana" w:eastAsia="Verdana" w:cs="Verdana"/>
          <w:b/>
          <w:b/>
          <w:sz w:val="18"/>
          <w:szCs w:val="18"/>
        </w:rPr>
      </w:pPr>
      <w:r>
        <w:rPr>
          <w:rFonts w:eastAsia="Verdana" w:cs="Verdana" w:ascii="Verdana" w:hAnsi="Verdana"/>
          <w:b/>
          <w:sz w:val="18"/>
          <w:szCs w:val="18"/>
        </w:rPr>
        <w:t>17 - DAS DISPOSIÇÕES FINAIS</w:t>
      </w:r>
    </w:p>
    <w:p>
      <w:pPr>
        <w:pStyle w:val="Normal"/>
        <w:pBdr/>
        <w:tabs>
          <w:tab w:val="clear" w:pos="720"/>
          <w:tab w:val="left" w:pos="0" w:leader="none"/>
          <w:tab w:val="left" w:pos="704" w:leader="none"/>
          <w:tab w:val="left" w:pos="1134" w:leader="none"/>
        </w:tabs>
        <w:jc w:val="both"/>
        <w:rPr>
          <w:rFonts w:ascii="Verdana" w:hAnsi="Verdana" w:eastAsia="Verdana" w:cs="Verdana"/>
          <w:b/>
          <w:b/>
          <w:sz w:val="18"/>
          <w:szCs w:val="18"/>
        </w:rPr>
      </w:pPr>
      <w:r>
        <w:rPr>
          <w:rFonts w:eastAsia="Verdana" w:cs="Verdana" w:ascii="Verdana" w:hAnsi="Verdana"/>
          <w:b/>
          <w:sz w:val="18"/>
          <w:szCs w:val="18"/>
        </w:rPr>
      </w:r>
    </w:p>
    <w:p>
      <w:pPr>
        <w:pStyle w:val="Normal"/>
        <w:pBdr/>
        <w:tabs>
          <w:tab w:val="clear" w:pos="720"/>
          <w:tab w:val="left" w:pos="0" w:leader="none"/>
          <w:tab w:val="left" w:pos="704" w:leader="none"/>
          <w:tab w:val="left" w:pos="1134" w:leader="none"/>
        </w:tabs>
        <w:jc w:val="both"/>
        <w:rPr>
          <w:rFonts w:ascii="Verdana" w:hAnsi="Verdana" w:eastAsia="Verdana" w:cs="Verdana"/>
          <w:sz w:val="18"/>
          <w:szCs w:val="18"/>
        </w:rPr>
      </w:pPr>
      <w:r>
        <w:rPr>
          <w:rFonts w:eastAsia="Verdana" w:cs="Verdana" w:ascii="Verdana" w:hAnsi="Verdana"/>
          <w:b/>
          <w:sz w:val="18"/>
          <w:szCs w:val="18"/>
        </w:rPr>
        <w:t xml:space="preserve">17.1 - </w:t>
      </w:r>
      <w:r>
        <w:rPr>
          <w:rFonts w:eastAsia="Verdana" w:cs="Verdana" w:ascii="Verdana" w:hAnsi="Verdana"/>
          <w:sz w:val="18"/>
          <w:szCs w:val="18"/>
        </w:rPr>
        <w:t>Será divulgada ata da sessão pública no sistema eletrônico.</w:t>
      </w:r>
    </w:p>
    <w:p>
      <w:pPr>
        <w:pStyle w:val="Normal"/>
        <w:pBdr/>
        <w:tabs>
          <w:tab w:val="clear" w:pos="720"/>
          <w:tab w:val="left" w:pos="0" w:leader="none"/>
          <w:tab w:val="left" w:pos="704" w:leader="none"/>
          <w:tab w:val="left" w:pos="1134" w:leader="none"/>
        </w:tabs>
        <w:jc w:val="both"/>
        <w:rPr>
          <w:rFonts w:ascii="Verdana" w:hAnsi="Verdana" w:eastAsia="Verdana" w:cs="Verdana"/>
          <w:b/>
          <w:b/>
          <w:sz w:val="18"/>
          <w:szCs w:val="18"/>
        </w:rPr>
      </w:pPr>
      <w:r>
        <w:rPr>
          <w:rFonts w:eastAsia="Verdana" w:cs="Verdana" w:ascii="Verdana" w:hAnsi="Verdana"/>
          <w:b/>
          <w:sz w:val="18"/>
          <w:szCs w:val="18"/>
        </w:rPr>
      </w:r>
    </w:p>
    <w:p>
      <w:pPr>
        <w:pStyle w:val="Normal"/>
        <w:pBdr/>
        <w:tabs>
          <w:tab w:val="clear" w:pos="720"/>
          <w:tab w:val="left" w:pos="0" w:leader="none"/>
          <w:tab w:val="left" w:pos="704" w:leader="none"/>
          <w:tab w:val="left" w:pos="1134" w:leader="none"/>
        </w:tabs>
        <w:jc w:val="both"/>
        <w:rPr>
          <w:rFonts w:ascii="Verdana" w:hAnsi="Verdana" w:eastAsia="Verdana" w:cs="Verdana"/>
          <w:sz w:val="18"/>
          <w:szCs w:val="18"/>
        </w:rPr>
      </w:pPr>
      <w:r>
        <w:rPr>
          <w:rFonts w:eastAsia="Verdana" w:cs="Verdana" w:ascii="Verdana" w:hAnsi="Verdana"/>
          <w:b/>
          <w:sz w:val="18"/>
          <w:szCs w:val="18"/>
        </w:rPr>
        <w:t xml:space="preserve">17.2 - </w:t>
      </w:r>
      <w:r>
        <w:rPr>
          <w:rFonts w:eastAsia="Verdana" w:cs="Verdana" w:ascii="Verdana" w:hAnsi="Verdana"/>
          <w:sz w:val="18"/>
          <w:szCs w:val="18"/>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pPr>
        <w:pStyle w:val="Normal"/>
        <w:pBdr/>
        <w:tabs>
          <w:tab w:val="clear" w:pos="720"/>
          <w:tab w:val="left" w:pos="0" w:leader="none"/>
          <w:tab w:val="left" w:pos="704" w:leader="none"/>
          <w:tab w:val="left" w:pos="1134" w:leader="none"/>
        </w:tabs>
        <w:jc w:val="both"/>
        <w:rPr>
          <w:rFonts w:ascii="Verdana" w:hAnsi="Verdana" w:eastAsia="Verdana" w:cs="Verdana"/>
          <w:sz w:val="18"/>
          <w:szCs w:val="18"/>
        </w:rPr>
      </w:pPr>
      <w:r>
        <w:rPr>
          <w:rFonts w:eastAsia="Verdana" w:cs="Verdana" w:ascii="Verdana" w:hAnsi="Verdana"/>
          <w:sz w:val="18"/>
          <w:szCs w:val="18"/>
        </w:rPr>
      </w:r>
    </w:p>
    <w:p>
      <w:pPr>
        <w:pStyle w:val="Normal"/>
        <w:pBdr/>
        <w:tabs>
          <w:tab w:val="clear" w:pos="720"/>
          <w:tab w:val="left" w:pos="0" w:leader="none"/>
          <w:tab w:val="left" w:pos="704" w:leader="none"/>
          <w:tab w:val="left" w:pos="1134" w:leader="none"/>
        </w:tabs>
        <w:jc w:val="both"/>
        <w:rPr>
          <w:rFonts w:ascii="Verdana" w:hAnsi="Verdana" w:eastAsia="Verdana" w:cs="Verdana"/>
          <w:sz w:val="18"/>
          <w:szCs w:val="18"/>
        </w:rPr>
      </w:pPr>
      <w:r>
        <w:rPr>
          <w:rFonts w:eastAsia="Verdana" w:cs="Verdana" w:ascii="Verdana" w:hAnsi="Verdana"/>
          <w:b/>
          <w:sz w:val="18"/>
          <w:szCs w:val="18"/>
        </w:rPr>
        <w:t xml:space="preserve">17.3 - </w:t>
      </w:r>
      <w:r>
        <w:rPr>
          <w:rFonts w:eastAsia="Verdana" w:cs="Verdana" w:ascii="Verdana" w:hAnsi="Verdana"/>
          <w:sz w:val="18"/>
          <w:szCs w:val="18"/>
        </w:rPr>
        <w:t>Todas as referências de tempo no Edital, no aviso e durante a sessão pública observarão o horário de Brasília - DF.</w:t>
      </w:r>
    </w:p>
    <w:p>
      <w:pPr>
        <w:pStyle w:val="Normal"/>
        <w:pBdr/>
        <w:tabs>
          <w:tab w:val="clear" w:pos="720"/>
          <w:tab w:val="left" w:pos="0" w:leader="none"/>
          <w:tab w:val="left" w:pos="704" w:leader="none"/>
          <w:tab w:val="left" w:pos="1134" w:leader="none"/>
        </w:tabs>
        <w:jc w:val="both"/>
        <w:rPr>
          <w:rFonts w:ascii="Verdana" w:hAnsi="Verdana" w:eastAsia="Verdana" w:cs="Verdana"/>
          <w:sz w:val="18"/>
          <w:szCs w:val="18"/>
        </w:rPr>
      </w:pPr>
      <w:r>
        <w:rPr>
          <w:rFonts w:eastAsia="Verdana" w:cs="Verdana" w:ascii="Verdana" w:hAnsi="Verdana"/>
          <w:sz w:val="18"/>
          <w:szCs w:val="18"/>
        </w:rPr>
      </w:r>
    </w:p>
    <w:p>
      <w:pPr>
        <w:pStyle w:val="Normal"/>
        <w:pBdr/>
        <w:tabs>
          <w:tab w:val="clear" w:pos="720"/>
          <w:tab w:val="left" w:pos="0" w:leader="none"/>
          <w:tab w:val="left" w:pos="704" w:leader="none"/>
          <w:tab w:val="left" w:pos="1134" w:leader="none"/>
        </w:tabs>
        <w:jc w:val="both"/>
        <w:rPr>
          <w:rFonts w:ascii="Verdana" w:hAnsi="Verdana" w:eastAsia="Verdana" w:cs="Verdana"/>
          <w:sz w:val="18"/>
          <w:szCs w:val="18"/>
        </w:rPr>
      </w:pPr>
      <w:r>
        <w:rPr>
          <w:rFonts w:eastAsia="Verdana" w:cs="Verdana" w:ascii="Verdana" w:hAnsi="Verdana"/>
          <w:b/>
          <w:sz w:val="18"/>
          <w:szCs w:val="18"/>
        </w:rPr>
        <w:t xml:space="preserve">17.4 -  </w:t>
      </w:r>
      <w:r>
        <w:rPr>
          <w:rFonts w:eastAsia="Verdana" w:cs="Verdana" w:ascii="Verdana" w:hAnsi="Verdana"/>
          <w:sz w:val="18"/>
          <w:szCs w:val="18"/>
        </w:rPr>
        <w:t>A homologação do resultado desta licitação não implicará direito à contratação.</w:t>
      </w:r>
    </w:p>
    <w:p>
      <w:pPr>
        <w:pStyle w:val="Normal"/>
        <w:pBdr/>
        <w:tabs>
          <w:tab w:val="clear" w:pos="720"/>
          <w:tab w:val="left" w:pos="0" w:leader="none"/>
          <w:tab w:val="left" w:pos="704" w:leader="none"/>
          <w:tab w:val="left" w:pos="1134" w:leader="none"/>
        </w:tabs>
        <w:jc w:val="both"/>
        <w:rPr>
          <w:rFonts w:ascii="Verdana" w:hAnsi="Verdana" w:eastAsia="Verdana" w:cs="Verdana"/>
          <w:sz w:val="18"/>
          <w:szCs w:val="18"/>
        </w:rPr>
      </w:pPr>
      <w:r>
        <w:rPr>
          <w:rFonts w:eastAsia="Verdana" w:cs="Verdana" w:ascii="Verdana" w:hAnsi="Verdana"/>
          <w:sz w:val="18"/>
          <w:szCs w:val="18"/>
        </w:rPr>
      </w:r>
    </w:p>
    <w:p>
      <w:pPr>
        <w:pStyle w:val="Normal"/>
        <w:pBdr/>
        <w:tabs>
          <w:tab w:val="clear" w:pos="720"/>
          <w:tab w:val="left" w:pos="0" w:leader="none"/>
          <w:tab w:val="left" w:pos="704" w:leader="none"/>
          <w:tab w:val="left" w:pos="1134" w:leader="none"/>
        </w:tabs>
        <w:jc w:val="both"/>
        <w:rPr>
          <w:rFonts w:ascii="Verdana" w:hAnsi="Verdana" w:eastAsia="Verdana" w:cs="Verdana"/>
          <w:sz w:val="18"/>
          <w:szCs w:val="18"/>
        </w:rPr>
      </w:pPr>
      <w:r>
        <w:rPr>
          <w:rFonts w:eastAsia="Verdana" w:cs="Verdana" w:ascii="Verdana" w:hAnsi="Verdana"/>
          <w:b/>
          <w:sz w:val="18"/>
          <w:szCs w:val="18"/>
        </w:rPr>
        <w:t xml:space="preserve">17.5 - </w:t>
      </w:r>
      <w:r>
        <w:rPr>
          <w:rFonts w:eastAsia="Verdana" w:cs="Verdana" w:ascii="Verdana" w:hAnsi="Verdana"/>
          <w:sz w:val="18"/>
          <w:szCs w:val="18"/>
        </w:rPr>
        <w:t>As normas disciplinadoras da licitação serão sempre interpretadas em favor da ampliação da disputa entre os interessados, desde que não comprometam o interesse da Administração, o princípio da isonomia, a finalidade e a segurança da contratação.</w:t>
      </w:r>
    </w:p>
    <w:p>
      <w:pPr>
        <w:pStyle w:val="Normal"/>
        <w:pBdr/>
        <w:tabs>
          <w:tab w:val="clear" w:pos="720"/>
          <w:tab w:val="left" w:pos="0" w:leader="none"/>
          <w:tab w:val="left" w:pos="704" w:leader="none"/>
          <w:tab w:val="left" w:pos="1134" w:leader="none"/>
        </w:tabs>
        <w:jc w:val="both"/>
        <w:rPr>
          <w:rFonts w:ascii="Verdana" w:hAnsi="Verdana" w:eastAsia="Verdana" w:cs="Verdana"/>
          <w:sz w:val="18"/>
          <w:szCs w:val="18"/>
        </w:rPr>
      </w:pPr>
      <w:r>
        <w:rPr>
          <w:rFonts w:eastAsia="Verdana" w:cs="Verdana" w:ascii="Verdana" w:hAnsi="Verdana"/>
          <w:sz w:val="18"/>
          <w:szCs w:val="18"/>
        </w:rPr>
      </w:r>
    </w:p>
    <w:p>
      <w:pPr>
        <w:pStyle w:val="Normal"/>
        <w:pBdr/>
        <w:tabs>
          <w:tab w:val="clear" w:pos="720"/>
          <w:tab w:val="left" w:pos="0" w:leader="none"/>
          <w:tab w:val="left" w:pos="704" w:leader="none"/>
          <w:tab w:val="left" w:pos="1134" w:leader="none"/>
        </w:tabs>
        <w:jc w:val="both"/>
        <w:rPr>
          <w:rFonts w:ascii="Verdana" w:hAnsi="Verdana" w:eastAsia="Verdana" w:cs="Verdana"/>
          <w:sz w:val="18"/>
          <w:szCs w:val="18"/>
        </w:rPr>
      </w:pPr>
      <w:r>
        <w:rPr>
          <w:rFonts w:eastAsia="Verdana" w:cs="Verdana" w:ascii="Verdana" w:hAnsi="Verdana"/>
          <w:b/>
          <w:sz w:val="18"/>
          <w:szCs w:val="18"/>
        </w:rPr>
        <w:t xml:space="preserve">17.6 - </w:t>
      </w:r>
      <w:r>
        <w:rPr>
          <w:rFonts w:eastAsia="Verdana" w:cs="Verdana" w:ascii="Verdana" w:hAnsi="Verdana"/>
          <w:sz w:val="18"/>
          <w:szCs w:val="18"/>
        </w:rPr>
        <w:t>Os licitantes assumem todos os custos de preparação e apresentação de suas propostas e a Administração não será, em nenhum caso, responsável por esses custos, independentemente da condução ou do resultado do processo licitatório.</w:t>
      </w:r>
    </w:p>
    <w:p>
      <w:pPr>
        <w:pStyle w:val="Normal"/>
        <w:pBdr/>
        <w:tabs>
          <w:tab w:val="clear" w:pos="720"/>
          <w:tab w:val="left" w:pos="0" w:leader="none"/>
          <w:tab w:val="left" w:pos="704" w:leader="none"/>
          <w:tab w:val="left" w:pos="1134" w:leader="none"/>
        </w:tabs>
        <w:jc w:val="both"/>
        <w:rPr>
          <w:rFonts w:ascii="Verdana" w:hAnsi="Verdana" w:eastAsia="Verdana" w:cs="Verdana"/>
          <w:b/>
          <w:b/>
          <w:sz w:val="18"/>
          <w:szCs w:val="18"/>
        </w:rPr>
      </w:pPr>
      <w:r>
        <w:rPr>
          <w:rFonts w:eastAsia="Verdana" w:cs="Verdana" w:ascii="Verdana" w:hAnsi="Verdana"/>
          <w:b/>
          <w:sz w:val="18"/>
          <w:szCs w:val="18"/>
        </w:rPr>
      </w:r>
    </w:p>
    <w:p>
      <w:pPr>
        <w:pStyle w:val="Normal"/>
        <w:pBdr/>
        <w:tabs>
          <w:tab w:val="clear" w:pos="720"/>
          <w:tab w:val="left" w:pos="0" w:leader="none"/>
          <w:tab w:val="left" w:pos="704" w:leader="none"/>
          <w:tab w:val="left" w:pos="1134" w:leader="none"/>
        </w:tabs>
        <w:jc w:val="both"/>
        <w:rPr>
          <w:rFonts w:ascii="Verdana" w:hAnsi="Verdana" w:eastAsia="Verdana" w:cs="Verdana"/>
          <w:sz w:val="18"/>
          <w:szCs w:val="18"/>
        </w:rPr>
      </w:pPr>
      <w:r>
        <w:rPr>
          <w:rFonts w:eastAsia="Verdana" w:cs="Verdana" w:ascii="Verdana" w:hAnsi="Verdana"/>
          <w:b/>
          <w:sz w:val="18"/>
          <w:szCs w:val="18"/>
        </w:rPr>
        <w:t xml:space="preserve">17.7 - </w:t>
      </w:r>
      <w:r>
        <w:rPr>
          <w:rFonts w:eastAsia="Verdana" w:cs="Verdana" w:ascii="Verdana" w:hAnsi="Verdana"/>
          <w:sz w:val="18"/>
          <w:szCs w:val="18"/>
        </w:rPr>
        <w:t>Na contagem dos prazos estabelecidos neste Edital e seus Anexos, excluir-se-á o dia do início e incluir-se-á o do vencimento. Só se iniciam e vencem os prazos em dias de expediente na Administração.</w:t>
      </w:r>
    </w:p>
    <w:p>
      <w:pPr>
        <w:pStyle w:val="Normal"/>
        <w:pBdr/>
        <w:tabs>
          <w:tab w:val="clear" w:pos="720"/>
          <w:tab w:val="left" w:pos="0" w:leader="none"/>
          <w:tab w:val="left" w:pos="704" w:leader="none"/>
          <w:tab w:val="left" w:pos="1134" w:leader="none"/>
        </w:tabs>
        <w:jc w:val="both"/>
        <w:rPr>
          <w:rFonts w:ascii="Verdana" w:hAnsi="Verdana" w:eastAsia="Verdana" w:cs="Verdana"/>
          <w:b/>
          <w:b/>
          <w:sz w:val="18"/>
          <w:szCs w:val="18"/>
        </w:rPr>
      </w:pPr>
      <w:r>
        <w:rPr>
          <w:rFonts w:eastAsia="Verdana" w:cs="Verdana" w:ascii="Verdana" w:hAnsi="Verdana"/>
          <w:b/>
          <w:sz w:val="18"/>
          <w:szCs w:val="18"/>
        </w:rPr>
      </w:r>
    </w:p>
    <w:p>
      <w:pPr>
        <w:pStyle w:val="Normal"/>
        <w:pBdr/>
        <w:tabs>
          <w:tab w:val="clear" w:pos="720"/>
          <w:tab w:val="left" w:pos="0" w:leader="none"/>
          <w:tab w:val="left" w:pos="704" w:leader="none"/>
          <w:tab w:val="left" w:pos="1134" w:leader="none"/>
        </w:tabs>
        <w:jc w:val="both"/>
        <w:rPr>
          <w:rFonts w:ascii="Verdana" w:hAnsi="Verdana" w:eastAsia="Verdana" w:cs="Verdana"/>
          <w:sz w:val="18"/>
          <w:szCs w:val="18"/>
        </w:rPr>
      </w:pPr>
      <w:r>
        <w:rPr>
          <w:rFonts w:eastAsia="Verdana" w:cs="Verdana" w:ascii="Verdana" w:hAnsi="Verdana"/>
          <w:b/>
          <w:sz w:val="18"/>
          <w:szCs w:val="18"/>
        </w:rPr>
        <w:t xml:space="preserve">17.8 - </w:t>
      </w:r>
      <w:r>
        <w:rPr>
          <w:rFonts w:eastAsia="Verdana" w:cs="Verdana" w:ascii="Verdana" w:hAnsi="Verdana"/>
          <w:sz w:val="18"/>
          <w:szCs w:val="18"/>
        </w:rPr>
        <w:t>O desatendimento de exigências formais não essenciais não importará o afastamento do licitante, desde que seja possível o aproveitamento do ato, observados os princípios da isonomia e do interesse público.</w:t>
      </w:r>
    </w:p>
    <w:p>
      <w:pPr>
        <w:pStyle w:val="Normal"/>
        <w:pBdr/>
        <w:tabs>
          <w:tab w:val="clear" w:pos="720"/>
          <w:tab w:val="left" w:pos="0" w:leader="none"/>
          <w:tab w:val="left" w:pos="704" w:leader="none"/>
          <w:tab w:val="left" w:pos="1134" w:leader="none"/>
        </w:tabs>
        <w:jc w:val="both"/>
        <w:rPr>
          <w:rFonts w:ascii="Verdana" w:hAnsi="Verdana" w:eastAsia="Verdana" w:cs="Verdana"/>
          <w:sz w:val="18"/>
          <w:szCs w:val="18"/>
        </w:rPr>
      </w:pPr>
      <w:r>
        <w:rPr>
          <w:rFonts w:eastAsia="Verdana" w:cs="Verdana" w:ascii="Verdana" w:hAnsi="Verdana"/>
          <w:sz w:val="18"/>
          <w:szCs w:val="18"/>
        </w:rPr>
      </w:r>
    </w:p>
    <w:p>
      <w:pPr>
        <w:pStyle w:val="Normal"/>
        <w:pBdr/>
        <w:tabs>
          <w:tab w:val="clear" w:pos="720"/>
          <w:tab w:val="left" w:pos="0" w:leader="none"/>
          <w:tab w:val="left" w:pos="704" w:leader="none"/>
          <w:tab w:val="left" w:pos="1134" w:leader="none"/>
        </w:tabs>
        <w:jc w:val="both"/>
        <w:rPr>
          <w:rFonts w:ascii="Verdana" w:hAnsi="Verdana" w:eastAsia="Verdana" w:cs="Verdana"/>
          <w:sz w:val="18"/>
          <w:szCs w:val="18"/>
        </w:rPr>
      </w:pPr>
      <w:r>
        <w:rPr>
          <w:rFonts w:eastAsia="Verdana" w:cs="Verdana" w:ascii="Verdana" w:hAnsi="Verdana"/>
          <w:b/>
          <w:sz w:val="18"/>
          <w:szCs w:val="18"/>
        </w:rPr>
        <w:t xml:space="preserve">17.9 - </w:t>
      </w:r>
      <w:r>
        <w:rPr>
          <w:rFonts w:eastAsia="Verdana" w:cs="Verdana" w:ascii="Verdana" w:hAnsi="Verdana"/>
          <w:sz w:val="18"/>
          <w:szCs w:val="18"/>
        </w:rPr>
        <w:t>Em caso de divergência entre disposições deste Edital e de seus anexos ou demais peças que compõem o processo, prevalecerá as deste Edital.</w:t>
      </w:r>
    </w:p>
    <w:p>
      <w:pPr>
        <w:pStyle w:val="Normal"/>
        <w:pBdr/>
        <w:tabs>
          <w:tab w:val="clear" w:pos="720"/>
          <w:tab w:val="left" w:pos="0" w:leader="none"/>
          <w:tab w:val="left" w:pos="704" w:leader="none"/>
          <w:tab w:val="left" w:pos="1134" w:leader="none"/>
        </w:tabs>
        <w:jc w:val="both"/>
        <w:rPr>
          <w:rFonts w:ascii="Verdana" w:hAnsi="Verdana" w:eastAsia="Verdana" w:cs="Verdana"/>
          <w:sz w:val="18"/>
          <w:szCs w:val="18"/>
        </w:rPr>
      </w:pPr>
      <w:r>
        <w:rPr>
          <w:rFonts w:eastAsia="Verdana" w:cs="Verdana" w:ascii="Verdana" w:hAnsi="Verdana"/>
          <w:sz w:val="18"/>
          <w:szCs w:val="18"/>
        </w:rPr>
      </w:r>
    </w:p>
    <w:p>
      <w:pPr>
        <w:pStyle w:val="Normal"/>
        <w:pBdr/>
        <w:tabs>
          <w:tab w:val="clear" w:pos="720"/>
          <w:tab w:val="left" w:pos="0" w:leader="none"/>
          <w:tab w:val="left" w:pos="704" w:leader="none"/>
          <w:tab w:val="left" w:pos="1134" w:leader="none"/>
        </w:tabs>
        <w:jc w:val="both"/>
        <w:rPr>
          <w:rFonts w:ascii="Verdana" w:hAnsi="Verdana" w:eastAsia="Verdana" w:cs="Verdana"/>
          <w:sz w:val="18"/>
          <w:szCs w:val="18"/>
        </w:rPr>
      </w:pPr>
      <w:r>
        <w:rPr>
          <w:rFonts w:eastAsia="Verdana" w:cs="Verdana" w:ascii="Verdana" w:hAnsi="Verdana"/>
          <w:b/>
          <w:sz w:val="18"/>
          <w:szCs w:val="18"/>
        </w:rPr>
        <w:t xml:space="preserve">17.10 - </w:t>
      </w:r>
      <w:r>
        <w:rPr>
          <w:rFonts w:eastAsia="Verdana" w:cs="Verdana" w:ascii="Verdana" w:hAnsi="Verdana"/>
          <w:sz w:val="18"/>
          <w:szCs w:val="18"/>
        </w:rPr>
        <w:t>O Edital e seus anexos estão disponíveis, na íntegra, no Portal Nacional de Contratações Públicas (PNCP) e no endereço eletrônico www.tjes.jus.br &gt; Portal da Transparência &gt; Licitações e Contratos &gt; Licitações, sendo de responsabilidade das empresas interessadas em participar do certame o acesso para obtenção das informações prestadas.</w:t>
      </w:r>
    </w:p>
    <w:p>
      <w:pPr>
        <w:pStyle w:val="Normal"/>
        <w:pBdr/>
        <w:tabs>
          <w:tab w:val="clear" w:pos="720"/>
          <w:tab w:val="left" w:pos="0" w:leader="none"/>
          <w:tab w:val="left" w:pos="704" w:leader="none"/>
          <w:tab w:val="left" w:pos="1134" w:leader="none"/>
        </w:tabs>
        <w:jc w:val="both"/>
        <w:rPr>
          <w:rFonts w:ascii="Verdana" w:hAnsi="Verdana" w:eastAsia="Verdana" w:cs="Verdana"/>
          <w:b/>
          <w:b/>
          <w:sz w:val="18"/>
          <w:szCs w:val="18"/>
        </w:rPr>
      </w:pPr>
      <w:r>
        <w:rPr>
          <w:rFonts w:eastAsia="Verdana" w:cs="Verdana" w:ascii="Verdana" w:hAnsi="Verdana"/>
          <w:b/>
          <w:sz w:val="18"/>
          <w:szCs w:val="18"/>
        </w:rPr>
      </w:r>
    </w:p>
    <w:p>
      <w:pPr>
        <w:pStyle w:val="Normal"/>
        <w:pBdr/>
        <w:tabs>
          <w:tab w:val="clear" w:pos="720"/>
          <w:tab w:val="left" w:pos="0" w:leader="none"/>
          <w:tab w:val="left" w:pos="704" w:leader="none"/>
          <w:tab w:val="left" w:pos="1134" w:leader="none"/>
        </w:tabs>
        <w:jc w:val="both"/>
        <w:rPr>
          <w:rFonts w:ascii="Verdana" w:hAnsi="Verdana" w:eastAsia="Verdana" w:cs="Verdana"/>
          <w:sz w:val="18"/>
          <w:szCs w:val="18"/>
        </w:rPr>
      </w:pPr>
      <w:r>
        <w:rPr>
          <w:rFonts w:eastAsia="Verdana" w:cs="Verdana" w:ascii="Verdana" w:hAnsi="Verdana"/>
          <w:b/>
          <w:sz w:val="18"/>
          <w:szCs w:val="18"/>
        </w:rPr>
        <w:t xml:space="preserve">17.11 - </w:t>
      </w:r>
      <w:r>
        <w:rPr>
          <w:rFonts w:eastAsia="Verdana" w:cs="Verdana" w:ascii="Verdana" w:hAnsi="Verdana"/>
          <w:sz w:val="18"/>
          <w:szCs w:val="18"/>
        </w:rPr>
        <w:t>Fica eleito o foro de Vitória-ES para solucionar as questões decorrentes desta licitação.</w:t>
      </w:r>
    </w:p>
    <w:p>
      <w:pPr>
        <w:pStyle w:val="Normal"/>
        <w:pBdr/>
        <w:tabs>
          <w:tab w:val="clear" w:pos="720"/>
          <w:tab w:val="left" w:pos="0" w:leader="none"/>
          <w:tab w:val="left" w:pos="704" w:leader="none"/>
          <w:tab w:val="left" w:pos="1134" w:leader="none"/>
        </w:tabs>
        <w:jc w:val="both"/>
        <w:rPr>
          <w:rFonts w:ascii="Verdana" w:hAnsi="Verdana" w:eastAsia="Verdana" w:cs="Verdana"/>
          <w:sz w:val="18"/>
          <w:szCs w:val="18"/>
        </w:rPr>
      </w:pPr>
      <w:r>
        <w:rPr>
          <w:rFonts w:eastAsia="Verdana" w:cs="Verdana" w:ascii="Verdana" w:hAnsi="Verdana"/>
          <w:sz w:val="18"/>
          <w:szCs w:val="18"/>
        </w:rPr>
      </w:r>
    </w:p>
    <w:p>
      <w:pPr>
        <w:pStyle w:val="Normal"/>
        <w:pBdr/>
        <w:tabs>
          <w:tab w:val="clear" w:pos="720"/>
          <w:tab w:val="left" w:pos="1134" w:leader="none"/>
          <w:tab w:val="left" w:pos="2268" w:leader="none"/>
          <w:tab w:val="left" w:pos="3402" w:leader="none"/>
          <w:tab w:val="left" w:pos="4536" w:leader="none"/>
          <w:tab w:val="left" w:pos="5670" w:leader="none"/>
          <w:tab w:val="left" w:pos="6804" w:leader="none"/>
          <w:tab w:val="left" w:pos="7938" w:leader="none"/>
          <w:tab w:val="left" w:pos="9072" w:leader="none"/>
          <w:tab w:val="left" w:pos="10206" w:leader="none"/>
          <w:tab w:val="left" w:pos="11340" w:leader="none"/>
        </w:tabs>
        <w:jc w:val="center"/>
        <w:rPr>
          <w:rFonts w:ascii="Verdana" w:hAnsi="Verdana" w:eastAsia="Verdana" w:cs="Verdana"/>
          <w:sz w:val="18"/>
          <w:szCs w:val="18"/>
        </w:rPr>
      </w:pPr>
      <w:r>
        <w:rPr>
          <w:rFonts w:eastAsia="Verdana" w:cs="Verdana" w:ascii="Verdana" w:hAnsi="Verdana"/>
          <w:sz w:val="18"/>
          <w:szCs w:val="18"/>
        </w:rPr>
      </w:r>
    </w:p>
    <w:p>
      <w:pPr>
        <w:pStyle w:val="Normal"/>
        <w:pBdr/>
        <w:tabs>
          <w:tab w:val="clear" w:pos="720"/>
          <w:tab w:val="left" w:pos="1134" w:leader="none"/>
          <w:tab w:val="left" w:pos="2268" w:leader="none"/>
          <w:tab w:val="left" w:pos="3402" w:leader="none"/>
          <w:tab w:val="left" w:pos="4536" w:leader="none"/>
          <w:tab w:val="left" w:pos="5670" w:leader="none"/>
          <w:tab w:val="left" w:pos="6804" w:leader="none"/>
          <w:tab w:val="left" w:pos="7938" w:leader="none"/>
          <w:tab w:val="left" w:pos="9072" w:leader="none"/>
          <w:tab w:val="left" w:pos="10206" w:leader="none"/>
          <w:tab w:val="left" w:pos="11340" w:leader="none"/>
        </w:tabs>
        <w:jc w:val="right"/>
        <w:rPr>
          <w:rFonts w:ascii="Verdana" w:hAnsi="Verdana" w:eastAsia="Verdana" w:cs="Verdana"/>
          <w:sz w:val="18"/>
          <w:szCs w:val="18"/>
        </w:rPr>
      </w:pPr>
      <w:r>
        <w:rPr>
          <w:rFonts w:eastAsia="Verdana" w:cs="Verdana" w:ascii="Verdana" w:hAnsi="Verdana"/>
          <w:sz w:val="18"/>
          <w:szCs w:val="18"/>
        </w:rPr>
        <w:t xml:space="preserve">Vitória/ES, </w:t>
      </w:r>
      <w:r>
        <w:rPr>
          <w:rFonts w:eastAsia="Verdana" w:cs="Verdana" w:ascii="Verdana" w:hAnsi="Verdana"/>
          <w:sz w:val="18"/>
          <w:szCs w:val="18"/>
        </w:rPr>
        <w:t>06</w:t>
      </w:r>
      <w:r>
        <w:rPr>
          <w:rFonts w:eastAsia="Verdana" w:cs="Verdana" w:ascii="Verdana" w:hAnsi="Verdana"/>
          <w:sz w:val="18"/>
          <w:szCs w:val="18"/>
        </w:rPr>
        <w:t xml:space="preserve"> de </w:t>
      </w:r>
      <w:r>
        <w:rPr>
          <w:rFonts w:eastAsia="Verdana" w:cs="Verdana" w:ascii="Verdana" w:hAnsi="Verdana"/>
          <w:sz w:val="18"/>
          <w:szCs w:val="18"/>
        </w:rPr>
        <w:t>novembro</w:t>
      </w:r>
      <w:r>
        <w:rPr>
          <w:rFonts w:eastAsia="Verdana" w:cs="Verdana" w:ascii="Verdana" w:hAnsi="Verdana"/>
          <w:sz w:val="18"/>
          <w:szCs w:val="18"/>
        </w:rPr>
        <w:t xml:space="preserve"> de 2023.</w:t>
      </w:r>
    </w:p>
    <w:p>
      <w:pPr>
        <w:pStyle w:val="Normal"/>
        <w:pBdr/>
        <w:tabs>
          <w:tab w:val="clear" w:pos="720"/>
          <w:tab w:val="left" w:pos="1134" w:leader="none"/>
          <w:tab w:val="left" w:pos="2268" w:leader="none"/>
          <w:tab w:val="left" w:pos="3402" w:leader="none"/>
          <w:tab w:val="left" w:pos="4536" w:leader="none"/>
          <w:tab w:val="left" w:pos="5670" w:leader="none"/>
          <w:tab w:val="left" w:pos="6804" w:leader="none"/>
          <w:tab w:val="left" w:pos="7938" w:leader="none"/>
          <w:tab w:val="left" w:pos="9072" w:leader="none"/>
          <w:tab w:val="left" w:pos="10206" w:leader="none"/>
          <w:tab w:val="left" w:pos="11340" w:leader="none"/>
        </w:tabs>
        <w:rPr>
          <w:rFonts w:ascii="Verdana" w:hAnsi="Verdana" w:eastAsia="Verdana" w:cs="Verdana"/>
          <w:sz w:val="18"/>
          <w:szCs w:val="18"/>
        </w:rPr>
      </w:pPr>
      <w:r>
        <w:rPr>
          <w:rFonts w:eastAsia="Verdana" w:cs="Verdana" w:ascii="Verdana" w:hAnsi="Verdana"/>
          <w:sz w:val="18"/>
          <w:szCs w:val="18"/>
        </w:rPr>
      </w:r>
    </w:p>
    <w:p>
      <w:pPr>
        <w:pStyle w:val="Normal"/>
        <w:pBdr/>
        <w:tabs>
          <w:tab w:val="clear" w:pos="720"/>
          <w:tab w:val="left" w:pos="1134" w:leader="none"/>
          <w:tab w:val="left" w:pos="2268" w:leader="none"/>
          <w:tab w:val="left" w:pos="3402" w:leader="none"/>
          <w:tab w:val="left" w:pos="4536" w:leader="none"/>
          <w:tab w:val="left" w:pos="5670" w:leader="none"/>
          <w:tab w:val="left" w:pos="6804" w:leader="none"/>
          <w:tab w:val="left" w:pos="7938" w:leader="none"/>
          <w:tab w:val="left" w:pos="9072" w:leader="none"/>
          <w:tab w:val="left" w:pos="10206" w:leader="none"/>
          <w:tab w:val="left" w:pos="11340" w:leader="none"/>
        </w:tabs>
        <w:rPr>
          <w:rFonts w:ascii="Verdana" w:hAnsi="Verdana" w:eastAsia="Verdana" w:cs="Verdana"/>
          <w:sz w:val="18"/>
          <w:szCs w:val="18"/>
        </w:rPr>
      </w:pPr>
      <w:r>
        <w:rPr>
          <w:rFonts w:eastAsia="Verdana" w:cs="Verdana" w:ascii="Verdana" w:hAnsi="Verdana"/>
          <w:sz w:val="18"/>
          <w:szCs w:val="18"/>
        </w:rPr>
      </w:r>
    </w:p>
    <w:p>
      <w:pPr>
        <w:pStyle w:val="Normal"/>
        <w:pBdr/>
        <w:tabs>
          <w:tab w:val="clear" w:pos="720"/>
          <w:tab w:val="left" w:pos="1134" w:leader="none"/>
          <w:tab w:val="left" w:pos="2268" w:leader="none"/>
          <w:tab w:val="left" w:pos="3402" w:leader="none"/>
          <w:tab w:val="left" w:pos="4536" w:leader="none"/>
          <w:tab w:val="left" w:pos="5670" w:leader="none"/>
          <w:tab w:val="left" w:pos="6804" w:leader="none"/>
          <w:tab w:val="left" w:pos="7938" w:leader="none"/>
          <w:tab w:val="left" w:pos="9072" w:leader="none"/>
          <w:tab w:val="left" w:pos="10206" w:leader="none"/>
          <w:tab w:val="left" w:pos="11340" w:leader="none"/>
        </w:tabs>
        <w:rPr>
          <w:rFonts w:ascii="Verdana" w:hAnsi="Verdana" w:eastAsia="Verdana" w:cs="Verdana"/>
          <w:sz w:val="18"/>
          <w:szCs w:val="18"/>
        </w:rPr>
      </w:pPr>
      <w:r>
        <w:rPr>
          <w:rFonts w:eastAsia="Verdana" w:cs="Verdana" w:ascii="Verdana" w:hAnsi="Verdana"/>
          <w:sz w:val="18"/>
          <w:szCs w:val="18"/>
        </w:rPr>
      </w:r>
    </w:p>
    <w:p>
      <w:pPr>
        <w:pStyle w:val="Normal"/>
        <w:pBdr/>
        <w:tabs>
          <w:tab w:val="clear" w:pos="720"/>
          <w:tab w:val="left" w:pos="1134" w:leader="none"/>
          <w:tab w:val="left" w:pos="2268" w:leader="none"/>
          <w:tab w:val="left" w:pos="3402" w:leader="none"/>
          <w:tab w:val="left" w:pos="4536" w:leader="none"/>
          <w:tab w:val="left" w:pos="5670" w:leader="none"/>
          <w:tab w:val="left" w:pos="6804" w:leader="none"/>
          <w:tab w:val="left" w:pos="7938" w:leader="none"/>
          <w:tab w:val="left" w:pos="9072" w:leader="none"/>
          <w:tab w:val="left" w:pos="10206" w:leader="none"/>
          <w:tab w:val="left" w:pos="11340" w:leader="none"/>
        </w:tabs>
        <w:rPr>
          <w:rFonts w:ascii="Verdana" w:hAnsi="Verdana" w:eastAsia="Verdana" w:cs="Verdana"/>
          <w:sz w:val="18"/>
          <w:szCs w:val="18"/>
        </w:rPr>
      </w:pPr>
      <w:r>
        <w:rPr>
          <w:rFonts w:eastAsia="Verdana" w:cs="Verdana" w:ascii="Verdana" w:hAnsi="Verdana"/>
          <w:sz w:val="18"/>
          <w:szCs w:val="18"/>
        </w:rPr>
      </w:r>
    </w:p>
    <w:p>
      <w:pPr>
        <w:pStyle w:val="Normal"/>
        <w:pBdr/>
        <w:tabs>
          <w:tab w:val="clear" w:pos="720"/>
          <w:tab w:val="left" w:pos="1134" w:leader="none"/>
          <w:tab w:val="left" w:pos="2268" w:leader="none"/>
          <w:tab w:val="left" w:pos="3402" w:leader="none"/>
          <w:tab w:val="left" w:pos="4536" w:leader="none"/>
          <w:tab w:val="left" w:pos="5670" w:leader="none"/>
          <w:tab w:val="left" w:pos="6804" w:leader="none"/>
          <w:tab w:val="left" w:pos="7938" w:leader="none"/>
          <w:tab w:val="left" w:pos="9072" w:leader="none"/>
          <w:tab w:val="left" w:pos="10206" w:leader="none"/>
          <w:tab w:val="left" w:pos="11340" w:leader="none"/>
        </w:tabs>
        <w:rPr>
          <w:rFonts w:ascii="Verdana" w:hAnsi="Verdana" w:eastAsia="Verdana" w:cs="Verdana"/>
          <w:sz w:val="18"/>
          <w:szCs w:val="18"/>
        </w:rPr>
      </w:pPr>
      <w:r>
        <w:rPr>
          <w:rFonts w:eastAsia="Verdana" w:cs="Verdana" w:ascii="Verdana" w:hAnsi="Verdana"/>
          <w:sz w:val="18"/>
          <w:szCs w:val="18"/>
        </w:rPr>
      </w:r>
    </w:p>
    <w:p>
      <w:pPr>
        <w:pStyle w:val="Normal"/>
        <w:pBdr/>
        <w:tabs>
          <w:tab w:val="clear" w:pos="720"/>
          <w:tab w:val="left" w:pos="1134" w:leader="none"/>
          <w:tab w:val="left" w:pos="2268" w:leader="none"/>
          <w:tab w:val="left" w:pos="3402" w:leader="none"/>
          <w:tab w:val="left" w:pos="4536" w:leader="none"/>
          <w:tab w:val="left" w:pos="5670" w:leader="none"/>
          <w:tab w:val="left" w:pos="6804" w:leader="none"/>
          <w:tab w:val="left" w:pos="7938" w:leader="none"/>
          <w:tab w:val="left" w:pos="9072" w:leader="none"/>
          <w:tab w:val="left" w:pos="10206" w:leader="none"/>
          <w:tab w:val="left" w:pos="11340" w:leader="none"/>
        </w:tabs>
        <w:rPr>
          <w:rFonts w:ascii="Verdana" w:hAnsi="Verdana" w:eastAsia="Verdana" w:cs="Verdana"/>
          <w:sz w:val="18"/>
          <w:szCs w:val="18"/>
        </w:rPr>
      </w:pPr>
      <w:r>
        <w:rPr>
          <w:rFonts w:eastAsia="Verdana" w:cs="Verdana" w:ascii="Verdana" w:hAnsi="Verdana"/>
          <w:sz w:val="18"/>
          <w:szCs w:val="18"/>
        </w:rPr>
      </w:r>
    </w:p>
    <w:p>
      <w:pPr>
        <w:pStyle w:val="Normal"/>
        <w:pBdr/>
        <w:tabs>
          <w:tab w:val="clear" w:pos="720"/>
          <w:tab w:val="left" w:pos="1134" w:leader="none"/>
          <w:tab w:val="left" w:pos="2268" w:leader="none"/>
          <w:tab w:val="left" w:pos="3402" w:leader="none"/>
          <w:tab w:val="left" w:pos="4536" w:leader="none"/>
          <w:tab w:val="left" w:pos="5670" w:leader="none"/>
          <w:tab w:val="left" w:pos="6804" w:leader="none"/>
          <w:tab w:val="left" w:pos="7938" w:leader="none"/>
          <w:tab w:val="left" w:pos="9072" w:leader="none"/>
          <w:tab w:val="left" w:pos="10206" w:leader="none"/>
          <w:tab w:val="left" w:pos="11340" w:leader="none"/>
        </w:tabs>
        <w:rPr>
          <w:rFonts w:ascii="Verdana" w:hAnsi="Verdana" w:eastAsia="Verdana" w:cs="Verdana"/>
          <w:sz w:val="18"/>
          <w:szCs w:val="18"/>
        </w:rPr>
      </w:pPr>
      <w:r>
        <w:rPr>
          <w:rFonts w:eastAsia="Verdana" w:cs="Verdana" w:ascii="Verdana" w:hAnsi="Verdana"/>
          <w:sz w:val="18"/>
          <w:szCs w:val="18"/>
        </w:rPr>
      </w:r>
    </w:p>
    <w:p>
      <w:pPr>
        <w:pStyle w:val="Normal"/>
        <w:pBdr/>
        <w:tabs>
          <w:tab w:val="clear" w:pos="720"/>
          <w:tab w:val="left" w:pos="1134" w:leader="none"/>
          <w:tab w:val="left" w:pos="2268" w:leader="none"/>
          <w:tab w:val="left" w:pos="3402" w:leader="none"/>
          <w:tab w:val="left" w:pos="4536" w:leader="none"/>
          <w:tab w:val="left" w:pos="5670" w:leader="none"/>
          <w:tab w:val="left" w:pos="6804" w:leader="none"/>
          <w:tab w:val="left" w:pos="7938" w:leader="none"/>
          <w:tab w:val="left" w:pos="9072" w:leader="none"/>
          <w:tab w:val="left" w:pos="10206" w:leader="none"/>
          <w:tab w:val="left" w:pos="11340" w:leader="none"/>
        </w:tabs>
        <w:rPr>
          <w:rFonts w:ascii="Verdana" w:hAnsi="Verdana" w:eastAsia="Verdana" w:cs="Verdana"/>
          <w:sz w:val="18"/>
          <w:szCs w:val="18"/>
        </w:rPr>
      </w:pPr>
      <w:r>
        <w:rPr>
          <w:rFonts w:eastAsia="Verdana" w:cs="Verdana" w:ascii="Verdana" w:hAnsi="Verdana"/>
          <w:sz w:val="18"/>
          <w:szCs w:val="18"/>
        </w:rPr>
      </w:r>
    </w:p>
    <w:p>
      <w:pPr>
        <w:pStyle w:val="Normal"/>
        <w:pBdr/>
        <w:tabs>
          <w:tab w:val="clear" w:pos="720"/>
          <w:tab w:val="left" w:pos="1134" w:leader="none"/>
          <w:tab w:val="left" w:pos="2268" w:leader="none"/>
          <w:tab w:val="left" w:pos="3402" w:leader="none"/>
          <w:tab w:val="left" w:pos="4536" w:leader="none"/>
          <w:tab w:val="left" w:pos="5670" w:leader="none"/>
          <w:tab w:val="left" w:pos="6804" w:leader="none"/>
          <w:tab w:val="left" w:pos="7938" w:leader="none"/>
          <w:tab w:val="left" w:pos="9072" w:leader="none"/>
          <w:tab w:val="left" w:pos="10206" w:leader="none"/>
          <w:tab w:val="left" w:pos="11340" w:leader="none"/>
        </w:tabs>
        <w:rPr>
          <w:rFonts w:ascii="Verdana" w:hAnsi="Verdana" w:eastAsia="Verdana" w:cs="Verdana"/>
          <w:sz w:val="18"/>
          <w:szCs w:val="18"/>
        </w:rPr>
      </w:pPr>
      <w:r>
        <w:rPr>
          <w:rFonts w:eastAsia="Verdana" w:cs="Verdana" w:ascii="Verdana" w:hAnsi="Verdana"/>
          <w:sz w:val="18"/>
          <w:szCs w:val="18"/>
        </w:rPr>
      </w:r>
    </w:p>
    <w:p>
      <w:pPr>
        <w:pStyle w:val="Normal"/>
        <w:pBdr/>
        <w:tabs>
          <w:tab w:val="clear" w:pos="720"/>
          <w:tab w:val="left" w:pos="1134" w:leader="none"/>
          <w:tab w:val="left" w:pos="2268" w:leader="none"/>
          <w:tab w:val="left" w:pos="3402" w:leader="none"/>
          <w:tab w:val="left" w:pos="4536" w:leader="none"/>
          <w:tab w:val="left" w:pos="5670" w:leader="none"/>
          <w:tab w:val="left" w:pos="6804" w:leader="none"/>
          <w:tab w:val="left" w:pos="7938" w:leader="none"/>
          <w:tab w:val="left" w:pos="9072" w:leader="none"/>
          <w:tab w:val="left" w:pos="10206" w:leader="none"/>
          <w:tab w:val="left" w:pos="11340" w:leader="none"/>
        </w:tabs>
        <w:rPr>
          <w:rFonts w:ascii="Verdana" w:hAnsi="Verdana" w:eastAsia="Verdana" w:cs="Verdana"/>
          <w:sz w:val="18"/>
          <w:szCs w:val="18"/>
        </w:rPr>
      </w:pPr>
      <w:r>
        <w:rPr>
          <w:rFonts w:eastAsia="Verdana" w:cs="Verdana" w:ascii="Verdana" w:hAnsi="Verdana"/>
          <w:sz w:val="18"/>
          <w:szCs w:val="18"/>
        </w:rPr>
      </w:r>
    </w:p>
    <w:p>
      <w:pPr>
        <w:pStyle w:val="Normal"/>
        <w:pBdr/>
        <w:tabs>
          <w:tab w:val="clear" w:pos="720"/>
          <w:tab w:val="left" w:pos="1134" w:leader="none"/>
          <w:tab w:val="left" w:pos="2268" w:leader="none"/>
          <w:tab w:val="left" w:pos="3402" w:leader="none"/>
          <w:tab w:val="left" w:pos="4536" w:leader="none"/>
          <w:tab w:val="left" w:pos="5670" w:leader="none"/>
          <w:tab w:val="left" w:pos="6804" w:leader="none"/>
          <w:tab w:val="left" w:pos="7938" w:leader="none"/>
          <w:tab w:val="left" w:pos="9072" w:leader="none"/>
          <w:tab w:val="left" w:pos="10206" w:leader="none"/>
          <w:tab w:val="left" w:pos="11340" w:leader="none"/>
        </w:tabs>
        <w:rPr>
          <w:rFonts w:ascii="Verdana" w:hAnsi="Verdana" w:eastAsia="Verdana" w:cs="Verdana"/>
          <w:sz w:val="18"/>
          <w:szCs w:val="18"/>
        </w:rPr>
      </w:pPr>
      <w:r>
        <w:rPr>
          <w:rFonts w:eastAsia="Verdana" w:cs="Verdana" w:ascii="Verdana" w:hAnsi="Verdana"/>
          <w:sz w:val="18"/>
          <w:szCs w:val="18"/>
        </w:rPr>
      </w:r>
    </w:p>
    <w:p>
      <w:pPr>
        <w:pStyle w:val="Normal"/>
        <w:pBdr/>
        <w:tabs>
          <w:tab w:val="clear" w:pos="720"/>
          <w:tab w:val="left" w:pos="1134" w:leader="none"/>
          <w:tab w:val="left" w:pos="2268" w:leader="none"/>
          <w:tab w:val="left" w:pos="3402" w:leader="none"/>
          <w:tab w:val="left" w:pos="4536" w:leader="none"/>
          <w:tab w:val="left" w:pos="5670" w:leader="none"/>
          <w:tab w:val="left" w:pos="6804" w:leader="none"/>
          <w:tab w:val="left" w:pos="7938" w:leader="none"/>
          <w:tab w:val="left" w:pos="9072" w:leader="none"/>
          <w:tab w:val="left" w:pos="10206" w:leader="none"/>
          <w:tab w:val="left" w:pos="11340" w:leader="none"/>
        </w:tabs>
        <w:rPr>
          <w:rFonts w:ascii="Verdana" w:hAnsi="Verdana" w:eastAsia="Verdana" w:cs="Verdana"/>
          <w:sz w:val="18"/>
          <w:szCs w:val="18"/>
        </w:rPr>
      </w:pPr>
      <w:r>
        <w:rPr>
          <w:rFonts w:eastAsia="Verdana" w:cs="Verdana" w:ascii="Verdana" w:hAnsi="Verdana"/>
          <w:sz w:val="18"/>
          <w:szCs w:val="18"/>
        </w:rPr>
      </w:r>
    </w:p>
    <w:p>
      <w:pPr>
        <w:pStyle w:val="Normal"/>
        <w:pBdr/>
        <w:tabs>
          <w:tab w:val="clear" w:pos="720"/>
          <w:tab w:val="left" w:pos="1134" w:leader="none"/>
          <w:tab w:val="left" w:pos="2268" w:leader="none"/>
          <w:tab w:val="left" w:pos="3402" w:leader="none"/>
          <w:tab w:val="left" w:pos="4536" w:leader="none"/>
          <w:tab w:val="left" w:pos="5670" w:leader="none"/>
          <w:tab w:val="left" w:pos="6804" w:leader="none"/>
          <w:tab w:val="left" w:pos="7938" w:leader="none"/>
          <w:tab w:val="left" w:pos="9072" w:leader="none"/>
          <w:tab w:val="left" w:pos="10206" w:leader="none"/>
          <w:tab w:val="left" w:pos="11340" w:leader="none"/>
        </w:tabs>
        <w:rPr>
          <w:rFonts w:ascii="Verdana" w:hAnsi="Verdana" w:eastAsia="Verdana" w:cs="Verdana"/>
          <w:sz w:val="18"/>
          <w:szCs w:val="18"/>
        </w:rPr>
      </w:pPr>
      <w:r>
        <w:rPr>
          <w:rFonts w:eastAsia="Verdana" w:cs="Verdana" w:ascii="Verdana" w:hAnsi="Verdana"/>
          <w:sz w:val="18"/>
          <w:szCs w:val="18"/>
        </w:rPr>
      </w:r>
    </w:p>
    <w:p>
      <w:pPr>
        <w:pStyle w:val="Normal"/>
        <w:pBdr/>
        <w:tabs>
          <w:tab w:val="clear" w:pos="720"/>
          <w:tab w:val="left" w:pos="1134" w:leader="none"/>
          <w:tab w:val="left" w:pos="2268" w:leader="none"/>
          <w:tab w:val="left" w:pos="3402" w:leader="none"/>
          <w:tab w:val="left" w:pos="4536" w:leader="none"/>
          <w:tab w:val="left" w:pos="5670" w:leader="none"/>
          <w:tab w:val="left" w:pos="6804" w:leader="none"/>
          <w:tab w:val="left" w:pos="7938" w:leader="none"/>
          <w:tab w:val="left" w:pos="9072" w:leader="none"/>
          <w:tab w:val="left" w:pos="10206" w:leader="none"/>
          <w:tab w:val="left" w:pos="11340" w:leader="none"/>
        </w:tabs>
        <w:rPr>
          <w:rFonts w:ascii="Verdana" w:hAnsi="Verdana" w:eastAsia="Verdana" w:cs="Verdana"/>
          <w:sz w:val="18"/>
          <w:szCs w:val="18"/>
        </w:rPr>
      </w:pPr>
      <w:r>
        <w:rPr>
          <w:rFonts w:eastAsia="Verdana" w:cs="Verdana" w:ascii="Verdana" w:hAnsi="Verdana"/>
          <w:sz w:val="18"/>
          <w:szCs w:val="18"/>
        </w:rPr>
      </w:r>
    </w:p>
    <w:p>
      <w:pPr>
        <w:pStyle w:val="Normal"/>
        <w:tabs>
          <w:tab w:val="clear" w:pos="720"/>
          <w:tab w:val="left" w:pos="-30225" w:leader="none"/>
          <w:tab w:val="left" w:pos="25530" w:leader="none"/>
        </w:tabs>
        <w:ind w:left="851" w:hanging="851"/>
        <w:jc w:val="center"/>
        <w:rPr>
          <w:rFonts w:ascii="Verdana" w:hAnsi="Verdana" w:eastAsia="Verdana" w:cs="Verdana"/>
          <w:b/>
          <w:b/>
          <w:sz w:val="18"/>
          <w:szCs w:val="18"/>
        </w:rPr>
      </w:pPr>
      <w:r>
        <w:rPr>
          <w:rFonts w:eastAsia="Verdana" w:cs="Verdana" w:ascii="Verdana" w:hAnsi="Verdana"/>
          <w:b/>
          <w:sz w:val="18"/>
          <w:szCs w:val="18"/>
        </w:rPr>
        <w:t>___________________</w:t>
      </w:r>
    </w:p>
    <w:p>
      <w:pPr>
        <w:pStyle w:val="Normal"/>
        <w:pBdr/>
        <w:tabs>
          <w:tab w:val="clear" w:pos="720"/>
          <w:tab w:val="left" w:pos="1134" w:leader="none"/>
          <w:tab w:val="left" w:pos="2268" w:leader="none"/>
          <w:tab w:val="left" w:pos="3402" w:leader="none"/>
          <w:tab w:val="left" w:pos="4536" w:leader="none"/>
          <w:tab w:val="left" w:pos="5670" w:leader="none"/>
          <w:tab w:val="left" w:pos="6804" w:leader="none"/>
          <w:tab w:val="left" w:pos="7938" w:leader="none"/>
          <w:tab w:val="left" w:pos="9072" w:leader="none"/>
          <w:tab w:val="left" w:pos="10206" w:leader="none"/>
          <w:tab w:val="left" w:pos="11340" w:leader="none"/>
        </w:tabs>
        <w:jc w:val="center"/>
        <w:rPr>
          <w:rFonts w:ascii="Verdana" w:hAnsi="Verdana" w:eastAsia="Verdana" w:cs="Verdana"/>
          <w:b/>
          <w:b/>
          <w:sz w:val="18"/>
          <w:szCs w:val="18"/>
        </w:rPr>
      </w:pPr>
      <w:r>
        <w:rPr>
          <w:rFonts w:eastAsia="Verdana" w:cs="Verdana" w:ascii="Verdana" w:hAnsi="Verdana"/>
          <w:b/>
          <w:sz w:val="18"/>
          <w:szCs w:val="18"/>
        </w:rPr>
        <w:t>Pregoeiro</w:t>
      </w:r>
      <w:r>
        <w:rPr>
          <w:rStyle w:val="Ncoradanotaderodap"/>
          <w:rFonts w:eastAsia="Verdana" w:cs="Verdana" w:ascii="Verdana" w:hAnsi="Verdana"/>
          <w:b/>
          <w:sz w:val="18"/>
          <w:szCs w:val="18"/>
          <w:vertAlign w:val="superscript"/>
        </w:rPr>
        <w:footnoteReference w:id="2"/>
      </w:r>
    </w:p>
    <w:p>
      <w:pPr>
        <w:pStyle w:val="Normal"/>
        <w:pBdr/>
        <w:spacing w:before="0" w:after="100"/>
        <w:rPr>
          <w:rFonts w:ascii="Verdana" w:hAnsi="Verdana" w:eastAsia="Verdana" w:cs="Verdana"/>
          <w:sz w:val="16"/>
          <w:szCs w:val="16"/>
        </w:rPr>
      </w:pPr>
      <w:r>
        <w:rPr>
          <w:rFonts w:eastAsia="Verdana" w:cs="Verdana" w:ascii="Verdana" w:hAnsi="Verdana"/>
          <w:sz w:val="16"/>
          <w:szCs w:val="16"/>
        </w:rPr>
        <w:t>Edital assinado e rubricado pelo(a) Pregoeiro(a) em obediência à Ordem de Serviço n.º 003/2016, publicada pela Secretaria Geral no Diário da Justiça do dia 19/04/2016.</w:t>
      </w:r>
    </w:p>
    <w:p>
      <w:pPr>
        <w:pStyle w:val="Normal"/>
        <w:pBdr/>
        <w:spacing w:before="0" w:after="100"/>
        <w:rPr>
          <w:rFonts w:ascii="Verdana" w:hAnsi="Verdana" w:eastAsia="Verdana" w:cs="Verdana"/>
          <w:sz w:val="16"/>
          <w:szCs w:val="16"/>
        </w:rPr>
      </w:pPr>
      <w:r>
        <w:rPr>
          <w:rFonts w:eastAsia="Verdana" w:cs="Verdana" w:ascii="Verdana" w:hAnsi="Verdana"/>
          <w:sz w:val="16"/>
          <w:szCs w:val="16"/>
        </w:rPr>
      </w:r>
    </w:p>
    <w:p>
      <w:pPr>
        <w:pStyle w:val="Normal"/>
        <w:pBdr/>
        <w:spacing w:before="0" w:after="100"/>
        <w:rPr>
          <w:rFonts w:ascii="Verdana" w:hAnsi="Verdana" w:eastAsia="Verdana" w:cs="Verdana"/>
          <w:sz w:val="16"/>
          <w:szCs w:val="16"/>
        </w:rPr>
      </w:pPr>
      <w:r>
        <w:rPr>
          <w:rFonts w:eastAsia="Verdana" w:cs="Verdana" w:ascii="Verdana" w:hAnsi="Verdana"/>
          <w:sz w:val="16"/>
          <w:szCs w:val="16"/>
        </w:rPr>
      </w:r>
    </w:p>
    <w:p>
      <w:pPr>
        <w:pStyle w:val="Normal"/>
        <w:pBdr/>
        <w:spacing w:before="0" w:after="100"/>
        <w:rPr>
          <w:rFonts w:ascii="Verdana" w:hAnsi="Verdana" w:eastAsia="Verdana" w:cs="Verdana"/>
          <w:sz w:val="16"/>
          <w:szCs w:val="16"/>
        </w:rPr>
      </w:pPr>
      <w:r>
        <w:rPr>
          <w:rFonts w:eastAsia="Verdana" w:cs="Verdana" w:ascii="Verdana" w:hAnsi="Verdana"/>
          <w:sz w:val="16"/>
          <w:szCs w:val="16"/>
        </w:rPr>
      </w:r>
    </w:p>
    <w:p>
      <w:pPr>
        <w:pStyle w:val="Normal"/>
        <w:pBdr/>
        <w:spacing w:before="0" w:after="100"/>
        <w:rPr>
          <w:rFonts w:ascii="Verdana" w:hAnsi="Verdana" w:eastAsia="Verdana" w:cs="Verdana"/>
          <w:sz w:val="16"/>
          <w:szCs w:val="16"/>
        </w:rPr>
      </w:pPr>
      <w:r>
        <w:rPr>
          <w:rFonts w:eastAsia="Verdana" w:cs="Verdana" w:ascii="Verdana" w:hAnsi="Verdana"/>
          <w:sz w:val="16"/>
          <w:szCs w:val="16"/>
        </w:rPr>
      </w:r>
    </w:p>
    <w:p>
      <w:pPr>
        <w:pStyle w:val="Normal"/>
        <w:pBdr/>
        <w:spacing w:before="0" w:after="100"/>
        <w:rPr>
          <w:rFonts w:ascii="Verdana" w:hAnsi="Verdana" w:eastAsia="Verdana" w:cs="Verdana"/>
          <w:sz w:val="16"/>
          <w:szCs w:val="16"/>
        </w:rPr>
      </w:pPr>
      <w:r>
        <w:rPr>
          <w:rFonts w:eastAsia="Verdana" w:cs="Verdana" w:ascii="Verdana" w:hAnsi="Verdana"/>
          <w:sz w:val="16"/>
          <w:szCs w:val="16"/>
        </w:rPr>
      </w:r>
    </w:p>
    <w:p>
      <w:pPr>
        <w:pStyle w:val="Normal"/>
        <w:pBdr/>
        <w:shd w:val="clear" w:color="auto" w:fill="C0C0C0"/>
        <w:tabs>
          <w:tab w:val="clear" w:pos="720"/>
          <w:tab w:val="left" w:pos="0" w:leader="none"/>
        </w:tabs>
        <w:jc w:val="center"/>
        <w:rPr>
          <w:rFonts w:ascii="Verdana" w:hAnsi="Verdana" w:eastAsia="Verdana" w:cs="Verdana"/>
          <w:b/>
          <w:b/>
          <w:sz w:val="18"/>
          <w:szCs w:val="18"/>
        </w:rPr>
      </w:pPr>
      <w:r>
        <w:rPr>
          <w:rFonts w:eastAsia="Verdana" w:cs="Verdana" w:ascii="Verdana" w:hAnsi="Verdana"/>
          <w:b/>
          <w:sz w:val="18"/>
          <w:szCs w:val="18"/>
        </w:rPr>
        <w:t xml:space="preserve">ANEXO I – TERMO DE REFERÊNCIA </w:t>
      </w:r>
    </w:p>
    <w:p>
      <w:pPr>
        <w:pStyle w:val="Normal"/>
        <w:rPr/>
      </w:pPr>
      <w:r>
        <w:rPr/>
      </w:r>
      <w:bookmarkStart w:id="0" w:name="_gjdgxs"/>
      <w:bookmarkStart w:id="1" w:name="_gjdgxs"/>
      <w:bookmarkEnd w:id="1"/>
    </w:p>
    <w:p>
      <w:pPr>
        <w:pStyle w:val="Normal"/>
        <w:rPr/>
      </w:pPr>
      <w:r>
        <w:rPr/>
      </w:r>
    </w:p>
    <w:p>
      <w:pPr>
        <w:pStyle w:val="Normal"/>
        <w:jc w:val="center"/>
        <w:rPr>
          <w:rFonts w:ascii="Verdana" w:hAnsi="Verdana" w:eastAsia="Verdana" w:cs="Verdana"/>
          <w:b/>
          <w:b/>
          <w:i/>
          <w:i/>
        </w:rPr>
      </w:pPr>
      <w:r>
        <w:rPr>
          <w:rFonts w:eastAsia="Verdana" w:cs="Verdana" w:ascii="Verdana" w:hAnsi="Verdana"/>
          <w:b/>
          <w:i/>
        </w:rPr>
        <w:t>Arquivo anexo ao edital</w:t>
      </w:r>
    </w:p>
    <w:p>
      <w:pPr>
        <w:pStyle w:val="Normal"/>
        <w:rPr/>
      </w:pPr>
      <w:r>
        <w:rPr/>
      </w:r>
    </w:p>
    <w:p>
      <w:pPr>
        <w:pStyle w:val="Normal"/>
        <w:rPr/>
      </w:pPr>
      <w:r>
        <w:rPr/>
      </w:r>
    </w:p>
    <w:p>
      <w:pPr>
        <w:pStyle w:val="Normal"/>
        <w:pBdr/>
        <w:shd w:val="clear" w:color="auto" w:fill="C0C0C0"/>
        <w:tabs>
          <w:tab w:val="clear" w:pos="720"/>
          <w:tab w:val="left" w:pos="0" w:leader="none"/>
        </w:tabs>
        <w:jc w:val="center"/>
        <w:rPr>
          <w:rFonts w:ascii="Verdana" w:hAnsi="Verdana" w:eastAsia="Verdana" w:cs="Verdana"/>
          <w:b/>
          <w:b/>
          <w:sz w:val="18"/>
          <w:szCs w:val="18"/>
        </w:rPr>
      </w:pPr>
      <w:r>
        <w:rPr>
          <w:rFonts w:eastAsia="Verdana" w:cs="Verdana" w:ascii="Verdana" w:hAnsi="Verdana"/>
          <w:b/>
          <w:sz w:val="18"/>
          <w:szCs w:val="18"/>
        </w:rPr>
        <w:t>ANEXO II – PLANILHA DE PREÇOS MÁXIMOS/MODELO DE PROPOSTA</w:t>
      </w:r>
    </w:p>
    <w:p>
      <w:pPr>
        <w:pStyle w:val="Normal"/>
        <w:jc w:val="both"/>
        <w:rPr>
          <w:rFonts w:ascii="Verdana" w:hAnsi="Verdana" w:eastAsia="Verdana" w:cs="Verdana"/>
          <w:b/>
          <w:b/>
          <w:sz w:val="18"/>
          <w:szCs w:val="18"/>
        </w:rPr>
      </w:pPr>
      <w:r>
        <w:rPr>
          <w:rFonts w:eastAsia="Verdana" w:cs="Verdana" w:ascii="Verdana" w:hAnsi="Verdana"/>
          <w:b/>
          <w:sz w:val="18"/>
          <w:szCs w:val="18"/>
        </w:rPr>
      </w:r>
    </w:p>
    <w:p>
      <w:pPr>
        <w:pStyle w:val="Normal"/>
        <w:jc w:val="both"/>
        <w:rPr>
          <w:rFonts w:ascii="Verdana" w:hAnsi="Verdana" w:eastAsia="Verdana" w:cs="Verdana"/>
          <w:b/>
          <w:b/>
          <w:sz w:val="18"/>
          <w:szCs w:val="18"/>
        </w:rPr>
      </w:pPr>
      <w:r>
        <w:rPr>
          <w:rFonts w:eastAsia="Verdana" w:cs="Verdana" w:ascii="Verdana" w:hAnsi="Verdana"/>
          <w:b/>
          <w:sz w:val="18"/>
          <w:szCs w:val="18"/>
        </w:rPr>
      </w:r>
    </w:p>
    <w:p>
      <w:pPr>
        <w:pStyle w:val="Normal"/>
        <w:jc w:val="both"/>
        <w:rPr>
          <w:rFonts w:ascii="Verdana" w:hAnsi="Verdana" w:eastAsia="Verdana" w:cs="Verdana"/>
          <w:b/>
          <w:b/>
          <w:sz w:val="18"/>
          <w:szCs w:val="18"/>
        </w:rPr>
      </w:pPr>
      <w:r>
        <w:rPr>
          <w:rFonts w:eastAsia="Verdana" w:cs="Verdana" w:ascii="Verdana" w:hAnsi="Verdana"/>
          <w:b/>
          <w:sz w:val="18"/>
          <w:szCs w:val="18"/>
        </w:rPr>
        <w:t>Ao Poder Judiciário do Estado do Espírito Santo</w:t>
      </w:r>
    </w:p>
    <w:p>
      <w:pPr>
        <w:pStyle w:val="Normal"/>
        <w:jc w:val="both"/>
        <w:rPr>
          <w:rFonts w:ascii="Verdana" w:hAnsi="Verdana" w:eastAsia="Verdana" w:cs="Verdana"/>
          <w:b/>
          <w:b/>
          <w:sz w:val="18"/>
          <w:szCs w:val="18"/>
        </w:rPr>
      </w:pPr>
      <w:r>
        <w:rPr>
          <w:rFonts w:eastAsia="Verdana" w:cs="Verdana" w:ascii="Verdana" w:hAnsi="Verdana"/>
          <w:b/>
          <w:sz w:val="18"/>
          <w:szCs w:val="18"/>
        </w:rPr>
      </w:r>
    </w:p>
    <w:p>
      <w:pPr>
        <w:pStyle w:val="Normal"/>
        <w:jc w:val="both"/>
        <w:rPr>
          <w:rFonts w:ascii="Verdana" w:hAnsi="Verdana" w:eastAsia="Verdana" w:cs="Verdana"/>
          <w:b/>
          <w:b/>
          <w:sz w:val="18"/>
          <w:szCs w:val="18"/>
        </w:rPr>
      </w:pPr>
      <w:r>
        <w:rPr>
          <w:rFonts w:eastAsia="Verdana" w:cs="Verdana" w:ascii="Verdana" w:hAnsi="Verdana"/>
          <w:b/>
          <w:sz w:val="18"/>
          <w:szCs w:val="18"/>
        </w:rPr>
        <w:t>PREGÃO PE</w:t>
      </w:r>
      <w:r>
        <w:rPr>
          <w:rFonts w:eastAsia="Verdana" w:cs="Verdana" w:ascii="Verdana" w:hAnsi="Verdana"/>
          <w:b/>
          <w:sz w:val="18"/>
          <w:szCs w:val="18"/>
        </w:rPr>
        <w:t>095</w:t>
      </w:r>
      <w:r>
        <w:rPr>
          <w:rFonts w:eastAsia="Verdana" w:cs="Verdana" w:ascii="Verdana" w:hAnsi="Verdana"/>
          <w:b/>
          <w:sz w:val="18"/>
          <w:szCs w:val="18"/>
        </w:rPr>
        <w:t>/2023</w:t>
      </w:r>
    </w:p>
    <w:p>
      <w:pPr>
        <w:pStyle w:val="Normal"/>
        <w:jc w:val="both"/>
        <w:rPr>
          <w:rFonts w:ascii="Verdana" w:hAnsi="Verdana" w:eastAsia="Verdana" w:cs="Verdana"/>
          <w:b/>
          <w:b/>
          <w:sz w:val="18"/>
          <w:szCs w:val="18"/>
        </w:rPr>
      </w:pPr>
      <w:r>
        <w:rPr>
          <w:rFonts w:eastAsia="Verdana" w:cs="Verdana" w:ascii="Verdana" w:hAnsi="Verdana"/>
          <w:b/>
          <w:sz w:val="18"/>
          <w:szCs w:val="18"/>
        </w:rPr>
      </w:r>
    </w:p>
    <w:p>
      <w:pPr>
        <w:pStyle w:val="Normal"/>
        <w:jc w:val="both"/>
        <w:rPr>
          <w:rFonts w:ascii="Verdana" w:hAnsi="Verdana" w:eastAsia="Verdana" w:cs="Verdana"/>
          <w:sz w:val="18"/>
          <w:szCs w:val="18"/>
        </w:rPr>
      </w:pPr>
      <w:r>
        <w:rPr>
          <w:rFonts w:eastAsia="Verdana" w:cs="Verdana" w:ascii="Verdana" w:hAnsi="Verdana"/>
          <w:sz w:val="18"/>
          <w:szCs w:val="18"/>
        </w:rPr>
        <w:t>Apresentamos a nossa proposta comercial para o eventual fornecimento e instalação de persianas e películas nas unidades do Poder Judiciário do Estado do Espírito Santo.</w:t>
      </w:r>
    </w:p>
    <w:p>
      <w:pPr>
        <w:pStyle w:val="Normal"/>
        <w:widowControl w:val="false"/>
        <w:spacing w:before="11" w:after="0"/>
        <w:rPr>
          <w:rFonts w:ascii="Calibri" w:hAnsi="Calibri" w:eastAsia="Calibri" w:cs="Calibri"/>
          <w:b/>
          <w:b/>
          <w:sz w:val="14"/>
          <w:szCs w:val="14"/>
        </w:rPr>
      </w:pPr>
      <w:r>
        <w:rPr>
          <w:rFonts w:eastAsia="Calibri" w:cs="Calibri" w:ascii="Calibri" w:hAnsi="Calibri"/>
          <w:b/>
          <w:sz w:val="14"/>
          <w:szCs w:val="14"/>
        </w:rPr>
      </w:r>
    </w:p>
    <w:tbl>
      <w:tblPr>
        <w:tblStyle w:val="a1"/>
        <w:tblW w:w="9345" w:type="dxa"/>
        <w:jc w:val="center"/>
        <w:tblInd w:w="0" w:type="dxa"/>
        <w:tblLayout w:type="fixed"/>
        <w:tblCellMar>
          <w:top w:w="0" w:type="dxa"/>
          <w:left w:w="108" w:type="dxa"/>
          <w:bottom w:w="0" w:type="dxa"/>
          <w:right w:w="108" w:type="dxa"/>
        </w:tblCellMar>
        <w:tblLook w:firstRow="0" w:noVBand="0" w:lastRow="0" w:firstColumn="0" w:lastColumn="0" w:noHBand="0" w:val="0000"/>
      </w:tblPr>
      <w:tblGrid>
        <w:gridCol w:w="599"/>
        <w:gridCol w:w="3772"/>
        <w:gridCol w:w="425"/>
        <w:gridCol w:w="993"/>
        <w:gridCol w:w="991"/>
        <w:gridCol w:w="1277"/>
        <w:gridCol w:w="1287"/>
      </w:tblGrid>
      <w:tr>
        <w:trPr>
          <w:trHeight w:val="624" w:hRule="atLeast"/>
        </w:trPr>
        <w:tc>
          <w:tcPr>
            <w:tcW w:w="9344" w:type="dxa"/>
            <w:gridSpan w:val="7"/>
            <w:tcBorders>
              <w:top w:val="single" w:sz="6" w:space="0" w:color="000000"/>
              <w:left w:val="single" w:sz="18" w:space="0" w:color="000000"/>
              <w:bottom w:val="single" w:sz="6" w:space="0" w:color="000000"/>
              <w:right w:val="single" w:sz="6" w:space="0" w:color="000000"/>
            </w:tcBorders>
            <w:shd w:color="auto" w:fill="D8D8D8" w:val="clear"/>
            <w:vAlign w:val="center"/>
          </w:tcPr>
          <w:p>
            <w:pPr>
              <w:pStyle w:val="Normal"/>
              <w:widowControl w:val="false"/>
              <w:jc w:val="center"/>
              <w:rPr>
                <w:rFonts w:ascii="Verdana" w:hAnsi="Verdana" w:eastAsia="Verdana" w:cs="Verdana"/>
                <w:b/>
                <w:b/>
              </w:rPr>
            </w:pPr>
            <w:r>
              <w:rPr>
                <w:rFonts w:eastAsia="Verdana" w:cs="Verdana" w:ascii="Verdana" w:hAnsi="Verdana"/>
                <w:b/>
              </w:rPr>
              <w:t>LOTE ÚNICO</w:t>
            </w:r>
          </w:p>
          <w:p>
            <w:pPr>
              <w:pStyle w:val="Normal"/>
              <w:widowControl w:val="false"/>
              <w:jc w:val="center"/>
              <w:rPr>
                <w:rFonts w:ascii="Verdana" w:hAnsi="Verdana" w:eastAsia="Verdana" w:cs="Verdana"/>
                <w:b/>
                <w:b/>
              </w:rPr>
            </w:pPr>
            <w:r>
              <w:rPr>
                <w:rFonts w:eastAsia="Verdana" w:cs="Verdana" w:ascii="Verdana" w:hAnsi="Verdana"/>
                <w:b/>
              </w:rPr>
              <w:t>(Catser 25321)</w:t>
            </w:r>
          </w:p>
        </w:tc>
      </w:tr>
      <w:tr>
        <w:trPr>
          <w:trHeight w:val="846" w:hRule="atLeast"/>
        </w:trPr>
        <w:tc>
          <w:tcPr>
            <w:tcW w:w="599" w:type="dxa"/>
            <w:tcBorders>
              <w:top w:val="single" w:sz="6" w:space="0" w:color="000000"/>
              <w:left w:val="single" w:sz="18" w:space="0" w:color="000000"/>
              <w:bottom w:val="single" w:sz="6" w:space="0" w:color="000000"/>
              <w:right w:val="single" w:sz="6" w:space="0" w:color="000000"/>
            </w:tcBorders>
            <w:shd w:color="auto" w:fill="D8D8D8" w:val="clear"/>
            <w:vAlign w:val="center"/>
          </w:tcPr>
          <w:p>
            <w:pPr>
              <w:pStyle w:val="Normal"/>
              <w:widowControl w:val="false"/>
              <w:ind w:right="-33" w:hanging="0"/>
              <w:jc w:val="center"/>
              <w:rPr>
                <w:rFonts w:ascii="Verdana" w:hAnsi="Verdana" w:eastAsia="Verdana" w:cs="Verdana"/>
                <w:b/>
                <w:b/>
                <w:sz w:val="14"/>
                <w:szCs w:val="14"/>
              </w:rPr>
            </w:pPr>
            <w:r>
              <w:rPr>
                <w:rFonts w:eastAsia="Verdana" w:cs="Verdana" w:ascii="Verdana" w:hAnsi="Verdana"/>
                <w:b/>
                <w:sz w:val="14"/>
                <w:szCs w:val="14"/>
              </w:rPr>
              <w:t>ITEM</w:t>
            </w:r>
          </w:p>
        </w:tc>
        <w:tc>
          <w:tcPr>
            <w:tcW w:w="3772" w:type="dxa"/>
            <w:tcBorders>
              <w:top w:val="single" w:sz="6" w:space="0" w:color="000000"/>
              <w:left w:val="single" w:sz="6" w:space="0" w:color="000000"/>
              <w:bottom w:val="single" w:sz="6" w:space="0" w:color="000000"/>
              <w:right w:val="single" w:sz="6" w:space="0" w:color="000000"/>
            </w:tcBorders>
            <w:shd w:color="auto" w:fill="D8D8D8" w:val="clear"/>
            <w:vAlign w:val="center"/>
          </w:tcPr>
          <w:p>
            <w:pPr>
              <w:pStyle w:val="Normal"/>
              <w:widowControl w:val="false"/>
              <w:ind w:right="-96" w:hanging="0"/>
              <w:jc w:val="center"/>
              <w:rPr>
                <w:rFonts w:ascii="Verdana" w:hAnsi="Verdana" w:eastAsia="Verdana" w:cs="Verdana"/>
                <w:b/>
                <w:b/>
                <w:sz w:val="14"/>
                <w:szCs w:val="14"/>
              </w:rPr>
            </w:pPr>
            <w:r>
              <w:rPr>
                <w:rFonts w:eastAsia="Verdana" w:cs="Verdana" w:ascii="Verdana" w:hAnsi="Verdana"/>
                <w:b/>
                <w:sz w:val="14"/>
                <w:szCs w:val="14"/>
              </w:rPr>
              <w:t>DESCRIÇÃO</w:t>
            </w:r>
          </w:p>
        </w:tc>
        <w:tc>
          <w:tcPr>
            <w:tcW w:w="425" w:type="dxa"/>
            <w:tcBorders>
              <w:top w:val="single" w:sz="6" w:space="0" w:color="000000"/>
              <w:left w:val="single" w:sz="6" w:space="0" w:color="000000"/>
              <w:bottom w:val="single" w:sz="6" w:space="0" w:color="000000"/>
              <w:right w:val="single" w:sz="6" w:space="0" w:color="000000"/>
            </w:tcBorders>
            <w:shd w:color="auto" w:fill="D8D8D8" w:val="clear"/>
            <w:vAlign w:val="center"/>
          </w:tcPr>
          <w:p>
            <w:pPr>
              <w:pStyle w:val="Normal"/>
              <w:widowControl w:val="false"/>
              <w:ind w:right="-25" w:hanging="0"/>
              <w:jc w:val="center"/>
              <w:rPr>
                <w:rFonts w:ascii="Verdana" w:hAnsi="Verdana" w:eastAsia="Verdana" w:cs="Verdana"/>
                <w:b/>
                <w:b/>
                <w:sz w:val="14"/>
                <w:szCs w:val="14"/>
              </w:rPr>
            </w:pPr>
            <w:r>
              <w:rPr>
                <w:rFonts w:eastAsia="Verdana" w:cs="Verdana" w:ascii="Verdana" w:hAnsi="Verdana"/>
                <w:b/>
                <w:sz w:val="14"/>
                <w:szCs w:val="14"/>
              </w:rPr>
              <w:t>UN</w:t>
            </w:r>
          </w:p>
        </w:tc>
        <w:tc>
          <w:tcPr>
            <w:tcW w:w="993" w:type="dxa"/>
            <w:tcBorders>
              <w:top w:val="single" w:sz="6" w:space="0" w:color="000000"/>
              <w:left w:val="single" w:sz="6" w:space="0" w:color="000000"/>
              <w:bottom w:val="single" w:sz="6" w:space="0" w:color="000000"/>
              <w:right w:val="single" w:sz="6" w:space="0" w:color="000000"/>
            </w:tcBorders>
            <w:shd w:color="auto" w:fill="D8D8D8" w:val="clear"/>
            <w:vAlign w:val="center"/>
          </w:tcPr>
          <w:p>
            <w:pPr>
              <w:pStyle w:val="Normal"/>
              <w:widowControl w:val="false"/>
              <w:spacing w:before="36" w:after="0"/>
              <w:ind w:right="6" w:hanging="0"/>
              <w:jc w:val="center"/>
              <w:rPr>
                <w:rFonts w:ascii="Verdana" w:hAnsi="Verdana" w:eastAsia="Verdana" w:cs="Verdana"/>
                <w:b/>
                <w:b/>
                <w:sz w:val="14"/>
                <w:szCs w:val="14"/>
              </w:rPr>
            </w:pPr>
            <w:r>
              <w:rPr>
                <w:rFonts w:eastAsia="Verdana" w:cs="Verdana" w:ascii="Verdana" w:hAnsi="Verdana"/>
                <w:b/>
                <w:sz w:val="14"/>
                <w:szCs w:val="14"/>
              </w:rPr>
              <w:t>QTD MÍNIMA</w:t>
            </w:r>
          </w:p>
          <w:p>
            <w:pPr>
              <w:pStyle w:val="Normal"/>
              <w:widowControl w:val="false"/>
              <w:spacing w:lineRule="auto" w:line="247"/>
              <w:ind w:right="6" w:hanging="0"/>
              <w:jc w:val="center"/>
              <w:rPr>
                <w:rFonts w:ascii="Verdana" w:hAnsi="Verdana" w:eastAsia="Verdana" w:cs="Verdana"/>
                <w:b/>
                <w:b/>
                <w:sz w:val="14"/>
                <w:szCs w:val="14"/>
              </w:rPr>
            </w:pPr>
            <w:r>
              <w:rPr>
                <w:rFonts w:eastAsia="Verdana" w:cs="Verdana" w:ascii="Verdana" w:hAnsi="Verdana"/>
                <w:b/>
                <w:sz w:val="14"/>
                <w:szCs w:val="14"/>
              </w:rPr>
            </w:r>
          </w:p>
        </w:tc>
        <w:tc>
          <w:tcPr>
            <w:tcW w:w="991" w:type="dxa"/>
            <w:tcBorders>
              <w:top w:val="single" w:sz="6" w:space="0" w:color="000000"/>
              <w:left w:val="single" w:sz="6" w:space="0" w:color="000000"/>
              <w:bottom w:val="single" w:sz="4" w:space="0" w:color="000000"/>
              <w:right w:val="single" w:sz="6" w:space="0" w:color="000000"/>
            </w:tcBorders>
            <w:shd w:color="auto" w:fill="D8D8D8" w:val="clear"/>
            <w:vAlign w:val="center"/>
          </w:tcPr>
          <w:p>
            <w:pPr>
              <w:pStyle w:val="Normal"/>
              <w:widowControl w:val="false"/>
              <w:spacing w:before="36" w:after="0"/>
              <w:ind w:right="6" w:hanging="0"/>
              <w:jc w:val="center"/>
              <w:rPr>
                <w:rFonts w:ascii="Verdana" w:hAnsi="Verdana" w:eastAsia="Verdana" w:cs="Verdana"/>
                <w:b/>
                <w:b/>
                <w:sz w:val="14"/>
                <w:szCs w:val="14"/>
              </w:rPr>
            </w:pPr>
            <w:r>
              <w:rPr>
                <w:rFonts w:eastAsia="Verdana" w:cs="Verdana" w:ascii="Verdana" w:hAnsi="Verdana"/>
                <w:b/>
                <w:sz w:val="14"/>
                <w:szCs w:val="14"/>
              </w:rPr>
              <w:t>QTD MÁXIMA</w:t>
            </w:r>
          </w:p>
          <w:p>
            <w:pPr>
              <w:pStyle w:val="Normal"/>
              <w:widowControl w:val="false"/>
              <w:spacing w:lineRule="auto" w:line="247"/>
              <w:ind w:right="6" w:hanging="0"/>
              <w:jc w:val="center"/>
              <w:rPr>
                <w:rFonts w:ascii="Verdana" w:hAnsi="Verdana" w:eastAsia="Verdana" w:cs="Verdana"/>
                <w:b/>
                <w:b/>
                <w:sz w:val="14"/>
                <w:szCs w:val="14"/>
              </w:rPr>
            </w:pPr>
            <w:r>
              <w:rPr>
                <w:rFonts w:eastAsia="Verdana" w:cs="Verdana" w:ascii="Verdana" w:hAnsi="Verdana"/>
                <w:b/>
                <w:sz w:val="14"/>
                <w:szCs w:val="14"/>
              </w:rPr>
            </w:r>
          </w:p>
        </w:tc>
        <w:tc>
          <w:tcPr>
            <w:tcW w:w="1277" w:type="dxa"/>
            <w:tcBorders>
              <w:top w:val="single" w:sz="6" w:space="0" w:color="000000"/>
              <w:left w:val="single" w:sz="6" w:space="0" w:color="000000"/>
              <w:bottom w:val="single" w:sz="4" w:space="0" w:color="000000"/>
              <w:right w:val="single" w:sz="6" w:space="0" w:color="000000"/>
            </w:tcBorders>
            <w:shd w:color="auto" w:fill="D8D8D8" w:val="clear"/>
            <w:vAlign w:val="center"/>
          </w:tcPr>
          <w:p>
            <w:pPr>
              <w:pStyle w:val="Normal"/>
              <w:widowControl w:val="false"/>
              <w:spacing w:before="36" w:after="0"/>
              <w:ind w:right="6" w:hanging="0"/>
              <w:jc w:val="center"/>
              <w:rPr>
                <w:rFonts w:ascii="Verdana" w:hAnsi="Verdana" w:eastAsia="Verdana" w:cs="Verdana"/>
                <w:b/>
                <w:b/>
                <w:sz w:val="14"/>
                <w:szCs w:val="14"/>
              </w:rPr>
            </w:pPr>
            <w:r>
              <w:rPr>
                <w:rFonts w:eastAsia="Verdana" w:cs="Verdana" w:ascii="Verdana" w:hAnsi="Verdana"/>
                <w:b/>
                <w:sz w:val="14"/>
                <w:szCs w:val="14"/>
              </w:rPr>
              <w:t>VALOR UNITÁRIO MÁXIMO</w:t>
            </w:r>
          </w:p>
          <w:p>
            <w:pPr>
              <w:pStyle w:val="Normal"/>
              <w:widowControl w:val="false"/>
              <w:spacing w:before="36" w:after="0"/>
              <w:ind w:right="6" w:hanging="0"/>
              <w:jc w:val="center"/>
              <w:rPr>
                <w:rFonts w:ascii="Verdana" w:hAnsi="Verdana" w:eastAsia="Verdana" w:cs="Verdana"/>
                <w:b/>
                <w:b/>
                <w:sz w:val="14"/>
                <w:szCs w:val="14"/>
              </w:rPr>
            </w:pPr>
            <w:r>
              <w:rPr>
                <w:rFonts w:eastAsia="Verdana" w:cs="Verdana" w:ascii="Verdana" w:hAnsi="Verdana"/>
                <w:b/>
                <w:sz w:val="14"/>
                <w:szCs w:val="14"/>
              </w:rPr>
              <w:t>(R$)</w:t>
            </w:r>
          </w:p>
          <w:p>
            <w:pPr>
              <w:pStyle w:val="Normal"/>
              <w:widowControl w:val="false"/>
              <w:spacing w:before="36" w:after="0"/>
              <w:ind w:right="6" w:hanging="0"/>
              <w:jc w:val="center"/>
              <w:rPr>
                <w:rFonts w:ascii="Verdana" w:hAnsi="Verdana" w:eastAsia="Verdana" w:cs="Verdana"/>
                <w:b/>
                <w:b/>
                <w:sz w:val="14"/>
                <w:szCs w:val="14"/>
              </w:rPr>
            </w:pPr>
            <w:r>
              <w:rPr>
                <w:rFonts w:eastAsia="Verdana" w:cs="Verdana" w:ascii="Verdana" w:hAnsi="Verdana"/>
                <w:b/>
                <w:sz w:val="14"/>
                <w:szCs w:val="14"/>
              </w:rPr>
            </w:r>
          </w:p>
        </w:tc>
        <w:tc>
          <w:tcPr>
            <w:tcW w:w="1287" w:type="dxa"/>
            <w:tcBorders>
              <w:top w:val="single" w:sz="6" w:space="0" w:color="000000"/>
              <w:left w:val="single" w:sz="6" w:space="0" w:color="000000"/>
              <w:bottom w:val="single" w:sz="6" w:space="0" w:color="000000"/>
              <w:right w:val="single" w:sz="6" w:space="0" w:color="000000"/>
            </w:tcBorders>
            <w:shd w:color="auto" w:fill="D8D8D8" w:val="clear"/>
            <w:vAlign w:val="center"/>
          </w:tcPr>
          <w:p>
            <w:pPr>
              <w:pStyle w:val="Normal"/>
              <w:widowControl w:val="false"/>
              <w:spacing w:before="36" w:after="0"/>
              <w:ind w:right="6" w:hanging="0"/>
              <w:jc w:val="center"/>
              <w:rPr>
                <w:rFonts w:ascii="Verdana" w:hAnsi="Verdana" w:eastAsia="Verdana" w:cs="Verdana"/>
                <w:b/>
                <w:b/>
                <w:sz w:val="14"/>
                <w:szCs w:val="14"/>
              </w:rPr>
            </w:pPr>
            <w:r>
              <w:rPr>
                <w:rFonts w:eastAsia="Verdana" w:cs="Verdana" w:ascii="Verdana" w:hAnsi="Verdana"/>
                <w:b/>
                <w:sz w:val="14"/>
                <w:szCs w:val="14"/>
              </w:rPr>
              <w:t>VALOR TOTAL MÁXIMO</w:t>
            </w:r>
          </w:p>
          <w:p>
            <w:pPr>
              <w:pStyle w:val="Normal"/>
              <w:widowControl w:val="false"/>
              <w:spacing w:before="36" w:after="0"/>
              <w:ind w:right="6" w:hanging="0"/>
              <w:jc w:val="center"/>
              <w:rPr>
                <w:rFonts w:ascii="Verdana" w:hAnsi="Verdana" w:eastAsia="Verdana" w:cs="Verdana"/>
                <w:b/>
                <w:b/>
                <w:sz w:val="14"/>
                <w:szCs w:val="14"/>
              </w:rPr>
            </w:pPr>
            <w:r>
              <w:rPr>
                <w:rFonts w:eastAsia="Verdana" w:cs="Verdana" w:ascii="Verdana" w:hAnsi="Verdana"/>
                <w:b/>
                <w:sz w:val="14"/>
                <w:szCs w:val="14"/>
              </w:rPr>
              <w:t>(R$)</w:t>
            </w:r>
          </w:p>
          <w:p>
            <w:pPr>
              <w:pStyle w:val="Normal"/>
              <w:widowControl w:val="false"/>
              <w:spacing w:before="36" w:after="0"/>
              <w:ind w:right="6" w:hanging="0"/>
              <w:jc w:val="center"/>
              <w:rPr>
                <w:rFonts w:ascii="Verdana" w:hAnsi="Verdana" w:eastAsia="Verdana" w:cs="Verdana"/>
                <w:b/>
                <w:b/>
                <w:sz w:val="14"/>
                <w:szCs w:val="14"/>
              </w:rPr>
            </w:pPr>
            <w:r>
              <w:rPr>
                <w:rFonts w:eastAsia="Verdana" w:cs="Verdana" w:ascii="Verdana" w:hAnsi="Verdana"/>
                <w:b/>
                <w:sz w:val="14"/>
                <w:szCs w:val="14"/>
              </w:rPr>
            </w:r>
          </w:p>
        </w:tc>
      </w:tr>
      <w:tr>
        <w:trPr>
          <w:trHeight w:val="854" w:hRule="atLeast"/>
        </w:trPr>
        <w:tc>
          <w:tcPr>
            <w:tcW w:w="5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jc w:val="center"/>
              <w:rPr>
                <w:rFonts w:ascii="Verdana" w:hAnsi="Verdana" w:eastAsia="Verdana" w:cs="Verdana"/>
                <w:b/>
                <w:b/>
                <w:bCs/>
                <w:sz w:val="16"/>
                <w:szCs w:val="16"/>
              </w:rPr>
            </w:pPr>
            <w:r>
              <w:rPr>
                <w:rFonts w:eastAsia="Verdana" w:cs="Verdana" w:ascii="Verdana" w:hAnsi="Verdana"/>
                <w:b/>
                <w:bCs/>
                <w:sz w:val="16"/>
                <w:szCs w:val="16"/>
              </w:rPr>
              <w:t>1</w:t>
            </w:r>
          </w:p>
        </w:tc>
        <w:tc>
          <w:tcPr>
            <w:tcW w:w="3772" w:type="dxa"/>
            <w:tcBorders>
              <w:top w:val="single" w:sz="6" w:space="0" w:color="000000"/>
              <w:left w:val="single" w:sz="6" w:space="0" w:color="000000"/>
              <w:bottom w:val="single" w:sz="6" w:space="0" w:color="000000"/>
              <w:right w:val="single" w:sz="6" w:space="0" w:color="000000"/>
            </w:tcBorders>
          </w:tcPr>
          <w:p>
            <w:pPr>
              <w:pStyle w:val="Normal"/>
              <w:widowControl w:val="false"/>
              <w:spacing w:before="14" w:after="0"/>
              <w:ind w:left="58" w:right="131" w:hanging="0"/>
              <w:jc w:val="both"/>
              <w:rPr>
                <w:rFonts w:ascii="Verdana" w:hAnsi="Verdana"/>
                <w:color w:val="000000"/>
                <w:sz w:val="16"/>
                <w:szCs w:val="16"/>
              </w:rPr>
            </w:pPr>
            <w:r>
              <w:rPr>
                <w:rFonts w:ascii="Verdana" w:hAnsi="Verdana"/>
                <w:b/>
                <w:bCs/>
                <w:color w:val="000000"/>
                <w:sz w:val="16"/>
                <w:szCs w:val="16"/>
              </w:rPr>
              <w:t>Fornecimento e instalação de persiana vertical em PVC rígido</w:t>
            </w:r>
            <w:r>
              <w:rPr>
                <w:rFonts w:ascii="Verdana" w:hAnsi="Verdana"/>
                <w:color w:val="000000"/>
                <w:sz w:val="16"/>
                <w:szCs w:val="16"/>
              </w:rPr>
              <w:t xml:space="preserve"> com largura de 89 mm (permitindo variação de 3 mm), recolhível e articulável, encaixada em trilho de alumínio anodizado na cor prata a ser fixado na parede ou teto; com sanefa revestida com o mesmo material da persiana; com interligação horizontal na base das tiras das persianas feito por cordão flexível de contas plásticas; com dispositivos para acionamento das lâminas que possibilitem a rotação de 180° e o recolhimento efetuados por fio de polipropileno com bola e cordão de nylon; </w:t>
            </w:r>
            <w:r>
              <w:rPr>
                <w:rFonts w:ascii="Verdana" w:hAnsi="Verdana"/>
                <w:b/>
                <w:bCs/>
                <w:color w:val="000000"/>
                <w:sz w:val="16"/>
                <w:szCs w:val="16"/>
              </w:rPr>
              <w:t>cor lisa gelo</w:t>
            </w:r>
            <w:r>
              <w:rPr>
                <w:rFonts w:ascii="Verdana" w:hAnsi="Verdana"/>
                <w:color w:val="000000"/>
                <w:sz w:val="16"/>
                <w:szCs w:val="16"/>
              </w:rPr>
              <w:t>.</w:t>
            </w:r>
          </w:p>
          <w:p>
            <w:pPr>
              <w:pStyle w:val="Normal"/>
              <w:widowControl w:val="false"/>
              <w:spacing w:before="14" w:after="0"/>
              <w:ind w:left="58" w:right="131" w:hanging="0"/>
              <w:jc w:val="both"/>
              <w:rPr>
                <w:rFonts w:ascii="Verdana" w:hAnsi="Verdana" w:eastAsia="Verdana" w:cs="Verdana"/>
                <w:sz w:val="16"/>
                <w:szCs w:val="16"/>
              </w:rPr>
            </w:pPr>
            <w:r>
              <w:rPr>
                <w:rFonts w:eastAsia="Verdana" w:cs="Verdana" w:ascii="Verdana" w:hAnsi="Verdana"/>
                <w:sz w:val="16"/>
                <w:szCs w:val="16"/>
              </w:rPr>
            </w:r>
          </w:p>
        </w:tc>
        <w:tc>
          <w:tcPr>
            <w:tcW w:w="425" w:type="dxa"/>
            <w:tcBorders>
              <w:top w:val="single" w:sz="6" w:space="0" w:color="000000"/>
              <w:left w:val="single" w:sz="6" w:space="0" w:color="000000"/>
              <w:bottom w:val="single" w:sz="6" w:space="0" w:color="000000"/>
              <w:right w:val="single" w:sz="6" w:space="0" w:color="000000"/>
            </w:tcBorders>
            <w:vAlign w:val="center"/>
          </w:tcPr>
          <w:p>
            <w:pPr>
              <w:pStyle w:val="Ttulo2"/>
              <w:widowControl w:val="false"/>
              <w:spacing w:lineRule="auto" w:line="276" w:before="0" w:after="0"/>
              <w:ind w:right="27" w:hanging="0"/>
              <w:jc w:val="center"/>
              <w:rPr>
                <w:rFonts w:ascii="Verdana" w:hAnsi="Verdana" w:eastAsia="Verdana" w:cs="Verdana"/>
                <w:b w:val="false"/>
                <w:b w:val="false"/>
                <w:color w:val="auto"/>
                <w:sz w:val="16"/>
                <w:szCs w:val="16"/>
              </w:rPr>
            </w:pPr>
            <w:bookmarkStart w:id="2" w:name="_s3yz6bw81r2"/>
            <w:bookmarkEnd w:id="2"/>
            <w:r>
              <w:rPr>
                <w:rFonts w:eastAsia="Verdana" w:cs="Verdana" w:ascii="Verdana" w:hAnsi="Verdana"/>
                <w:b w:val="false"/>
                <w:color w:val="auto"/>
                <w:sz w:val="16"/>
                <w:szCs w:val="16"/>
              </w:rPr>
              <w:t>m²</w:t>
            </w:r>
          </w:p>
        </w:tc>
        <w:tc>
          <w:tcPr>
            <w:tcW w:w="99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ind w:left="123" w:right="102" w:hanging="0"/>
              <w:jc w:val="center"/>
              <w:rPr>
                <w:rFonts w:ascii="Verdana" w:hAnsi="Verdana" w:eastAsia="Verdana" w:cs="Verdana"/>
                <w:sz w:val="16"/>
                <w:szCs w:val="16"/>
              </w:rPr>
            </w:pPr>
            <w:r>
              <w:rPr>
                <w:rFonts w:eastAsia="Verdana" w:cs="Verdana" w:ascii="Verdana" w:hAnsi="Verdana"/>
                <w:sz w:val="16"/>
                <w:szCs w:val="16"/>
              </w:rPr>
              <w:t>10</w:t>
            </w:r>
          </w:p>
        </w:tc>
        <w:tc>
          <w:tcPr>
            <w:tcW w:w="99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ind w:right="66" w:hanging="0"/>
              <w:jc w:val="center"/>
              <w:rPr>
                <w:rFonts w:ascii="Verdana" w:hAnsi="Verdana" w:eastAsia="Verdana" w:cs="Verdana"/>
                <w:sz w:val="16"/>
                <w:szCs w:val="16"/>
              </w:rPr>
            </w:pPr>
            <w:r>
              <w:rPr>
                <w:rFonts w:eastAsia="Verdana" w:cs="Verdana" w:ascii="Verdana" w:hAnsi="Verdana"/>
                <w:sz w:val="16"/>
                <w:szCs w:val="16"/>
              </w:rPr>
              <w:t>1000</w:t>
            </w:r>
          </w:p>
        </w:tc>
        <w:tc>
          <w:tcPr>
            <w:tcW w:w="127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ind w:left="148" w:hanging="0"/>
              <w:jc w:val="center"/>
              <w:rPr>
                <w:rFonts w:ascii="Verdana" w:hAnsi="Verdana" w:eastAsia="Verdana" w:cs="Verdana"/>
                <w:sz w:val="16"/>
                <w:szCs w:val="16"/>
              </w:rPr>
            </w:pPr>
            <w:r>
              <w:rPr>
                <w:rFonts w:eastAsia="Verdana" w:cs="Verdana" w:ascii="Verdana" w:hAnsi="Verdana"/>
                <w:sz w:val="16"/>
                <w:szCs w:val="16"/>
              </w:rPr>
              <w:t>200,00</w:t>
            </w:r>
          </w:p>
        </w:tc>
        <w:tc>
          <w:tcPr>
            <w:tcW w:w="1287" w:type="dxa"/>
            <w:tcBorders>
              <w:top w:val="single" w:sz="4" w:space="0" w:color="000000"/>
              <w:bottom w:val="single" w:sz="4" w:space="0" w:color="000000"/>
              <w:right w:val="single" w:sz="4" w:space="0" w:color="000000"/>
            </w:tcBorders>
            <w:vAlign w:val="center"/>
          </w:tcPr>
          <w:p>
            <w:pPr>
              <w:pStyle w:val="Normal"/>
              <w:widowControl w:val="false"/>
              <w:ind w:right="24" w:hanging="0"/>
              <w:jc w:val="center"/>
              <w:rPr>
                <w:rFonts w:ascii="Verdana" w:hAnsi="Verdana" w:eastAsia="Verdana" w:cs="Verdana"/>
                <w:b/>
                <w:b/>
                <w:bCs/>
                <w:sz w:val="16"/>
                <w:szCs w:val="16"/>
              </w:rPr>
            </w:pPr>
            <w:r>
              <w:rPr>
                <w:rFonts w:eastAsia="Verdana" w:cs="Verdana" w:ascii="Verdana" w:hAnsi="Verdana"/>
                <w:b/>
                <w:bCs/>
                <w:sz w:val="16"/>
                <w:szCs w:val="16"/>
              </w:rPr>
              <w:t>200.000,00</w:t>
            </w:r>
          </w:p>
        </w:tc>
      </w:tr>
      <w:tr>
        <w:trPr>
          <w:trHeight w:val="547" w:hRule="atLeast"/>
        </w:trPr>
        <w:tc>
          <w:tcPr>
            <w:tcW w:w="5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jc w:val="center"/>
              <w:rPr>
                <w:rFonts w:ascii="Verdana" w:hAnsi="Verdana" w:eastAsia="Verdana" w:cs="Verdana"/>
                <w:b/>
                <w:b/>
                <w:bCs/>
                <w:sz w:val="16"/>
                <w:szCs w:val="16"/>
              </w:rPr>
            </w:pPr>
            <w:r>
              <w:rPr>
                <w:rFonts w:eastAsia="Verdana" w:cs="Verdana" w:ascii="Verdana" w:hAnsi="Verdana"/>
                <w:b/>
                <w:bCs/>
                <w:sz w:val="16"/>
                <w:szCs w:val="16"/>
              </w:rPr>
              <w:t>2</w:t>
            </w:r>
          </w:p>
        </w:tc>
        <w:tc>
          <w:tcPr>
            <w:tcW w:w="377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3" w:after="0"/>
              <w:ind w:left="58" w:right="131" w:hanging="0"/>
              <w:rPr>
                <w:rFonts w:ascii="Verdana" w:hAnsi="Verdana" w:eastAsia="Verdana" w:cs="Verdana"/>
                <w:b/>
                <w:b/>
                <w:bCs/>
                <w:sz w:val="16"/>
                <w:szCs w:val="16"/>
              </w:rPr>
            </w:pPr>
            <w:r>
              <w:rPr>
                <w:rFonts w:ascii="Verdana" w:hAnsi="Verdana"/>
                <w:b/>
                <w:bCs/>
                <w:color w:val="000000"/>
                <w:sz w:val="16"/>
                <w:szCs w:val="16"/>
              </w:rPr>
              <w:t>Instalação de Persiana Vertical</w:t>
            </w:r>
          </w:p>
        </w:tc>
        <w:tc>
          <w:tcPr>
            <w:tcW w:w="425" w:type="dxa"/>
            <w:tcBorders>
              <w:top w:val="single" w:sz="6" w:space="0" w:color="000000"/>
              <w:left w:val="single" w:sz="6" w:space="0" w:color="000000"/>
              <w:bottom w:val="single" w:sz="6" w:space="0" w:color="000000"/>
              <w:right w:val="single" w:sz="6" w:space="0" w:color="000000"/>
            </w:tcBorders>
            <w:vAlign w:val="center"/>
          </w:tcPr>
          <w:p>
            <w:pPr>
              <w:pStyle w:val="Ttulo2"/>
              <w:widowControl w:val="false"/>
              <w:spacing w:lineRule="auto" w:line="276" w:before="0" w:after="0"/>
              <w:ind w:right="27" w:hanging="0"/>
              <w:jc w:val="center"/>
              <w:rPr>
                <w:rFonts w:ascii="Verdana" w:hAnsi="Verdana" w:eastAsia="Verdana" w:cs="Verdana"/>
                <w:color w:val="auto"/>
                <w:sz w:val="16"/>
                <w:szCs w:val="16"/>
              </w:rPr>
            </w:pPr>
            <w:bookmarkStart w:id="3" w:name="_qltl8agcpwmp"/>
            <w:bookmarkEnd w:id="3"/>
            <w:r>
              <w:rPr>
                <w:rFonts w:eastAsia="Verdana" w:cs="Verdana" w:ascii="Verdana" w:hAnsi="Verdana"/>
                <w:b w:val="false"/>
                <w:color w:val="auto"/>
                <w:sz w:val="16"/>
                <w:szCs w:val="16"/>
              </w:rPr>
              <w:t>m²</w:t>
            </w:r>
          </w:p>
        </w:tc>
        <w:tc>
          <w:tcPr>
            <w:tcW w:w="99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ind w:right="102" w:hanging="0"/>
              <w:jc w:val="center"/>
              <w:rPr>
                <w:rFonts w:ascii="Verdana" w:hAnsi="Verdana" w:eastAsia="Verdana" w:cs="Verdana"/>
                <w:sz w:val="16"/>
                <w:szCs w:val="16"/>
              </w:rPr>
            </w:pPr>
            <w:r>
              <w:rPr>
                <w:rFonts w:eastAsia="Verdana" w:cs="Verdana" w:ascii="Verdana" w:hAnsi="Verdana"/>
                <w:sz w:val="16"/>
                <w:szCs w:val="16"/>
              </w:rPr>
              <w:t>10</w:t>
            </w:r>
          </w:p>
        </w:tc>
        <w:tc>
          <w:tcPr>
            <w:tcW w:w="99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ind w:right="66" w:hanging="0"/>
              <w:jc w:val="center"/>
              <w:rPr>
                <w:rFonts w:ascii="Verdana" w:hAnsi="Verdana" w:eastAsia="Verdana" w:cs="Verdana"/>
                <w:sz w:val="16"/>
                <w:szCs w:val="16"/>
              </w:rPr>
            </w:pPr>
            <w:r>
              <w:rPr>
                <w:rFonts w:eastAsia="Verdana" w:cs="Verdana" w:ascii="Verdana" w:hAnsi="Verdana"/>
                <w:sz w:val="16"/>
                <w:szCs w:val="16"/>
              </w:rPr>
              <w:t>1000</w:t>
            </w:r>
          </w:p>
        </w:tc>
        <w:tc>
          <w:tcPr>
            <w:tcW w:w="127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25" w:after="0"/>
              <w:ind w:left="149" w:hanging="0"/>
              <w:jc w:val="center"/>
              <w:rPr>
                <w:rFonts w:ascii="Verdana" w:hAnsi="Verdana" w:eastAsia="Verdana" w:cs="Verdana"/>
                <w:sz w:val="16"/>
                <w:szCs w:val="16"/>
              </w:rPr>
            </w:pPr>
            <w:r>
              <w:rPr>
                <w:rFonts w:eastAsia="Verdana" w:cs="Verdana" w:ascii="Verdana" w:hAnsi="Verdana"/>
                <w:sz w:val="16"/>
                <w:szCs w:val="16"/>
              </w:rPr>
              <w:t>28,45</w:t>
            </w:r>
          </w:p>
        </w:tc>
        <w:tc>
          <w:tcPr>
            <w:tcW w:w="1287" w:type="dxa"/>
            <w:tcBorders>
              <w:top w:val="single" w:sz="4" w:space="0" w:color="000000"/>
              <w:bottom w:val="single" w:sz="4" w:space="0" w:color="000000"/>
              <w:right w:val="single" w:sz="4" w:space="0" w:color="000000"/>
            </w:tcBorders>
            <w:vAlign w:val="center"/>
          </w:tcPr>
          <w:p>
            <w:pPr>
              <w:pStyle w:val="Normal"/>
              <w:widowControl w:val="false"/>
              <w:spacing w:before="25" w:after="0"/>
              <w:ind w:right="24" w:hanging="0"/>
              <w:jc w:val="center"/>
              <w:rPr>
                <w:rFonts w:ascii="Verdana" w:hAnsi="Verdana" w:eastAsia="Verdana" w:cs="Verdana"/>
                <w:b/>
                <w:b/>
                <w:bCs/>
                <w:sz w:val="16"/>
                <w:szCs w:val="16"/>
              </w:rPr>
            </w:pPr>
            <w:r>
              <w:rPr>
                <w:rFonts w:eastAsia="Verdana" w:cs="Verdana" w:ascii="Verdana" w:hAnsi="Verdana"/>
                <w:b/>
                <w:bCs/>
                <w:sz w:val="16"/>
                <w:szCs w:val="16"/>
              </w:rPr>
              <w:t>28.450,00</w:t>
            </w:r>
          </w:p>
        </w:tc>
      </w:tr>
      <w:tr>
        <w:trPr>
          <w:trHeight w:val="554" w:hRule="atLeast"/>
        </w:trPr>
        <w:tc>
          <w:tcPr>
            <w:tcW w:w="5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jc w:val="center"/>
              <w:rPr>
                <w:rFonts w:ascii="Verdana" w:hAnsi="Verdana" w:eastAsia="Verdana" w:cs="Verdana"/>
                <w:b/>
                <w:b/>
                <w:bCs/>
                <w:sz w:val="16"/>
                <w:szCs w:val="16"/>
              </w:rPr>
            </w:pPr>
            <w:r>
              <w:rPr>
                <w:rFonts w:eastAsia="Verdana" w:cs="Verdana" w:ascii="Verdana" w:hAnsi="Verdana"/>
                <w:b/>
                <w:bCs/>
                <w:sz w:val="16"/>
                <w:szCs w:val="16"/>
              </w:rPr>
              <w:t>3</w:t>
            </w:r>
          </w:p>
        </w:tc>
        <w:tc>
          <w:tcPr>
            <w:tcW w:w="3772" w:type="dxa"/>
            <w:tcBorders>
              <w:top w:val="single" w:sz="6" w:space="0" w:color="000000"/>
              <w:left w:val="single" w:sz="6" w:space="0" w:color="000000"/>
              <w:bottom w:val="single" w:sz="6" w:space="0" w:color="000000"/>
              <w:right w:val="single" w:sz="6" w:space="0" w:color="000000"/>
            </w:tcBorders>
          </w:tcPr>
          <w:p>
            <w:pPr>
              <w:pStyle w:val="Normal"/>
              <w:widowControl w:val="false"/>
              <w:ind w:left="58" w:right="131" w:hanging="0"/>
              <w:jc w:val="both"/>
              <w:rPr>
                <w:rFonts w:ascii="Verdana" w:hAnsi="Verdana"/>
                <w:color w:val="000000"/>
                <w:sz w:val="16"/>
                <w:szCs w:val="16"/>
              </w:rPr>
            </w:pPr>
            <w:r>
              <w:rPr>
                <w:rFonts w:ascii="Verdana" w:hAnsi="Verdana"/>
                <w:b/>
                <w:bCs/>
                <w:color w:val="000000"/>
                <w:sz w:val="16"/>
                <w:szCs w:val="16"/>
              </w:rPr>
              <w:t>Fornecimento e instalação de cortina tipo rolô,</w:t>
            </w:r>
            <w:r>
              <w:rPr>
                <w:rFonts w:ascii="Verdana" w:hAnsi="Verdana"/>
                <w:color w:val="000000"/>
                <w:sz w:val="16"/>
                <w:szCs w:val="16"/>
              </w:rPr>
              <w:t xml:space="preserve"> de tela solar em poliéster e PVC, com fator de abertura de 5%, nível 1 de escurecimento e privacidade, propriedade anti-chamas e bloqueio raios UV 95%, cor branca, com sanefa, com certificação, para a tela, de não propagação de chama ( NFPA 701 ou equivalente e de anti-fúngico ( certificador ASTM Internacional ( G21 E2180) ou equivalente).</w:t>
            </w:r>
          </w:p>
          <w:p>
            <w:pPr>
              <w:pStyle w:val="Normal"/>
              <w:widowControl w:val="false"/>
              <w:ind w:left="58" w:right="131" w:hanging="0"/>
              <w:jc w:val="both"/>
              <w:rPr>
                <w:rFonts w:ascii="Verdana" w:hAnsi="Verdana" w:eastAsia="Verdana" w:cs="Verdana"/>
                <w:sz w:val="16"/>
                <w:szCs w:val="16"/>
              </w:rPr>
            </w:pPr>
            <w:r>
              <w:rPr>
                <w:rFonts w:eastAsia="Verdana" w:cs="Verdana" w:ascii="Verdana" w:hAnsi="Verdana"/>
                <w:sz w:val="16"/>
                <w:szCs w:val="16"/>
              </w:rPr>
            </w:r>
          </w:p>
        </w:tc>
        <w:tc>
          <w:tcPr>
            <w:tcW w:w="425" w:type="dxa"/>
            <w:tcBorders>
              <w:top w:val="single" w:sz="6" w:space="0" w:color="000000"/>
              <w:left w:val="single" w:sz="6" w:space="0" w:color="000000"/>
              <w:bottom w:val="single" w:sz="6" w:space="0" w:color="000000"/>
              <w:right w:val="single" w:sz="6" w:space="0" w:color="000000"/>
            </w:tcBorders>
            <w:vAlign w:val="center"/>
          </w:tcPr>
          <w:p>
            <w:pPr>
              <w:pStyle w:val="Ttulo2"/>
              <w:widowControl w:val="false"/>
              <w:spacing w:lineRule="auto" w:line="276" w:before="0" w:after="0"/>
              <w:ind w:right="27" w:hanging="0"/>
              <w:jc w:val="center"/>
              <w:rPr>
                <w:rFonts w:ascii="Verdana" w:hAnsi="Verdana" w:eastAsia="Verdana" w:cs="Verdana"/>
                <w:color w:val="auto"/>
                <w:sz w:val="16"/>
                <w:szCs w:val="16"/>
              </w:rPr>
            </w:pPr>
            <w:bookmarkStart w:id="4" w:name="_k8mbvmecpx5n"/>
            <w:bookmarkEnd w:id="4"/>
            <w:r>
              <w:rPr>
                <w:rFonts w:eastAsia="Verdana" w:cs="Verdana" w:ascii="Verdana" w:hAnsi="Verdana"/>
                <w:b w:val="false"/>
                <w:color w:val="auto"/>
                <w:sz w:val="16"/>
                <w:szCs w:val="16"/>
              </w:rPr>
              <w:t>m²</w:t>
            </w:r>
          </w:p>
        </w:tc>
        <w:tc>
          <w:tcPr>
            <w:tcW w:w="99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ind w:left="123" w:right="102" w:hanging="0"/>
              <w:jc w:val="center"/>
              <w:rPr>
                <w:rFonts w:ascii="Verdana" w:hAnsi="Verdana" w:eastAsia="Verdana" w:cs="Verdana"/>
                <w:sz w:val="16"/>
                <w:szCs w:val="16"/>
              </w:rPr>
            </w:pPr>
            <w:r>
              <w:rPr>
                <w:rFonts w:eastAsia="Verdana" w:cs="Verdana" w:ascii="Verdana" w:hAnsi="Verdana"/>
                <w:sz w:val="16"/>
                <w:szCs w:val="16"/>
              </w:rPr>
              <w:t>5</w:t>
            </w:r>
          </w:p>
        </w:tc>
        <w:tc>
          <w:tcPr>
            <w:tcW w:w="99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ind w:right="66" w:hanging="0"/>
              <w:jc w:val="center"/>
              <w:rPr>
                <w:rFonts w:ascii="Verdana" w:hAnsi="Verdana" w:eastAsia="Verdana" w:cs="Verdana"/>
                <w:sz w:val="16"/>
                <w:szCs w:val="16"/>
              </w:rPr>
            </w:pPr>
            <w:r>
              <w:rPr>
                <w:rFonts w:eastAsia="Verdana" w:cs="Verdana" w:ascii="Verdana" w:hAnsi="Verdana"/>
                <w:sz w:val="16"/>
                <w:szCs w:val="16"/>
              </w:rPr>
              <w:t>200</w:t>
            </w:r>
          </w:p>
        </w:tc>
        <w:tc>
          <w:tcPr>
            <w:tcW w:w="127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ind w:left="148" w:hanging="0"/>
              <w:jc w:val="center"/>
              <w:rPr>
                <w:rFonts w:ascii="Verdana" w:hAnsi="Verdana" w:eastAsia="Verdana" w:cs="Verdana"/>
                <w:sz w:val="16"/>
                <w:szCs w:val="16"/>
              </w:rPr>
            </w:pPr>
            <w:r>
              <w:rPr>
                <w:rFonts w:eastAsia="Verdana" w:cs="Verdana" w:ascii="Verdana" w:hAnsi="Verdana"/>
                <w:sz w:val="16"/>
                <w:szCs w:val="16"/>
              </w:rPr>
              <w:t>359,75</w:t>
            </w:r>
          </w:p>
        </w:tc>
        <w:tc>
          <w:tcPr>
            <w:tcW w:w="1287" w:type="dxa"/>
            <w:tcBorders>
              <w:top w:val="single" w:sz="4" w:space="0" w:color="000000"/>
              <w:bottom w:val="single" w:sz="4" w:space="0" w:color="000000"/>
              <w:right w:val="single" w:sz="4" w:space="0" w:color="000000"/>
            </w:tcBorders>
            <w:vAlign w:val="center"/>
          </w:tcPr>
          <w:p>
            <w:pPr>
              <w:pStyle w:val="Normal"/>
              <w:widowControl w:val="false"/>
              <w:ind w:right="24" w:hanging="0"/>
              <w:jc w:val="center"/>
              <w:rPr>
                <w:rFonts w:ascii="Verdana" w:hAnsi="Verdana" w:eastAsia="Verdana" w:cs="Verdana"/>
                <w:b/>
                <w:b/>
                <w:bCs/>
                <w:sz w:val="16"/>
                <w:szCs w:val="16"/>
              </w:rPr>
            </w:pPr>
            <w:r>
              <w:rPr>
                <w:rFonts w:eastAsia="Verdana" w:cs="Verdana" w:ascii="Verdana" w:hAnsi="Verdana"/>
                <w:b/>
                <w:bCs/>
                <w:sz w:val="16"/>
                <w:szCs w:val="16"/>
              </w:rPr>
              <w:t>71.950,00</w:t>
            </w:r>
          </w:p>
        </w:tc>
      </w:tr>
      <w:tr>
        <w:trPr>
          <w:trHeight w:val="659" w:hRule="atLeast"/>
        </w:trPr>
        <w:tc>
          <w:tcPr>
            <w:tcW w:w="5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jc w:val="center"/>
              <w:rPr>
                <w:rFonts w:ascii="Verdana" w:hAnsi="Verdana" w:eastAsia="Verdana" w:cs="Verdana"/>
                <w:b/>
                <w:b/>
                <w:bCs/>
                <w:sz w:val="16"/>
                <w:szCs w:val="16"/>
              </w:rPr>
            </w:pPr>
            <w:r>
              <w:rPr>
                <w:rFonts w:eastAsia="Verdana" w:cs="Verdana" w:ascii="Verdana" w:hAnsi="Verdana"/>
                <w:b/>
                <w:bCs/>
                <w:sz w:val="16"/>
                <w:szCs w:val="16"/>
              </w:rPr>
              <w:t>4</w:t>
            </w:r>
          </w:p>
        </w:tc>
        <w:tc>
          <w:tcPr>
            <w:tcW w:w="377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auto" w:line="276"/>
              <w:ind w:left="58" w:right="131" w:hanging="46"/>
              <w:rPr>
                <w:rFonts w:ascii="Verdana" w:hAnsi="Verdana" w:eastAsia="Verdana" w:cs="Verdana"/>
                <w:b/>
                <w:b/>
                <w:bCs/>
                <w:sz w:val="16"/>
                <w:szCs w:val="16"/>
              </w:rPr>
            </w:pPr>
            <w:r>
              <w:rPr>
                <w:rFonts w:ascii="Verdana" w:hAnsi="Verdana"/>
                <w:b/>
                <w:bCs/>
                <w:color w:val="000000"/>
                <w:sz w:val="16"/>
                <w:szCs w:val="16"/>
              </w:rPr>
              <w:t>Instalação de Persiana Rolô.</w:t>
            </w:r>
          </w:p>
        </w:tc>
        <w:tc>
          <w:tcPr>
            <w:tcW w:w="425" w:type="dxa"/>
            <w:tcBorders>
              <w:top w:val="single" w:sz="6" w:space="0" w:color="000000"/>
              <w:left w:val="single" w:sz="6" w:space="0" w:color="000000"/>
              <w:bottom w:val="single" w:sz="6" w:space="0" w:color="000000"/>
              <w:right w:val="single" w:sz="6" w:space="0" w:color="000000"/>
            </w:tcBorders>
            <w:vAlign w:val="center"/>
          </w:tcPr>
          <w:p>
            <w:pPr>
              <w:pStyle w:val="Ttulo2"/>
              <w:widowControl w:val="false"/>
              <w:spacing w:lineRule="auto" w:line="276" w:before="0" w:after="0"/>
              <w:ind w:right="27" w:hanging="0"/>
              <w:jc w:val="center"/>
              <w:rPr>
                <w:rFonts w:ascii="Verdana" w:hAnsi="Verdana" w:eastAsia="Verdana" w:cs="Verdana"/>
                <w:color w:val="auto"/>
                <w:sz w:val="16"/>
                <w:szCs w:val="16"/>
              </w:rPr>
            </w:pPr>
            <w:bookmarkStart w:id="5" w:name="_4gj1ryf5h17"/>
            <w:bookmarkEnd w:id="5"/>
            <w:r>
              <w:rPr>
                <w:rFonts w:eastAsia="Verdana" w:cs="Verdana" w:ascii="Verdana" w:hAnsi="Verdana"/>
                <w:b w:val="false"/>
                <w:color w:val="auto"/>
                <w:sz w:val="16"/>
                <w:szCs w:val="16"/>
              </w:rPr>
              <w:t>m²</w:t>
            </w:r>
          </w:p>
        </w:tc>
        <w:tc>
          <w:tcPr>
            <w:tcW w:w="99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ind w:left="123" w:right="102" w:hanging="0"/>
              <w:jc w:val="center"/>
              <w:rPr>
                <w:rFonts w:ascii="Verdana" w:hAnsi="Verdana" w:eastAsia="Verdana" w:cs="Verdana"/>
                <w:sz w:val="16"/>
                <w:szCs w:val="16"/>
              </w:rPr>
            </w:pPr>
            <w:r>
              <w:rPr>
                <w:rFonts w:eastAsia="Verdana" w:cs="Verdana" w:ascii="Verdana" w:hAnsi="Verdana"/>
                <w:sz w:val="16"/>
                <w:szCs w:val="16"/>
              </w:rPr>
              <w:t>5</w:t>
            </w:r>
          </w:p>
        </w:tc>
        <w:tc>
          <w:tcPr>
            <w:tcW w:w="99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ind w:right="66" w:hanging="0"/>
              <w:jc w:val="center"/>
              <w:rPr>
                <w:rFonts w:ascii="Verdana" w:hAnsi="Verdana" w:eastAsia="Verdana" w:cs="Verdana"/>
                <w:sz w:val="16"/>
                <w:szCs w:val="16"/>
              </w:rPr>
            </w:pPr>
            <w:r>
              <w:rPr>
                <w:rFonts w:eastAsia="Verdana" w:cs="Verdana" w:ascii="Verdana" w:hAnsi="Verdana"/>
                <w:sz w:val="16"/>
                <w:szCs w:val="16"/>
              </w:rPr>
              <w:t>200</w:t>
            </w:r>
          </w:p>
        </w:tc>
        <w:tc>
          <w:tcPr>
            <w:tcW w:w="127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ind w:left="148" w:hanging="0"/>
              <w:jc w:val="center"/>
              <w:rPr>
                <w:rFonts w:ascii="Verdana" w:hAnsi="Verdana" w:eastAsia="Verdana" w:cs="Verdana"/>
                <w:sz w:val="16"/>
                <w:szCs w:val="16"/>
              </w:rPr>
            </w:pPr>
            <w:r>
              <w:rPr>
                <w:rFonts w:eastAsia="Verdana" w:cs="Verdana" w:ascii="Verdana" w:hAnsi="Verdana"/>
                <w:sz w:val="16"/>
                <w:szCs w:val="16"/>
              </w:rPr>
              <w:t>30,00</w:t>
            </w:r>
          </w:p>
        </w:tc>
        <w:tc>
          <w:tcPr>
            <w:tcW w:w="1287" w:type="dxa"/>
            <w:tcBorders>
              <w:top w:val="single" w:sz="4" w:space="0" w:color="000000"/>
              <w:bottom w:val="single" w:sz="4" w:space="0" w:color="000000"/>
              <w:right w:val="single" w:sz="4" w:space="0" w:color="000000"/>
            </w:tcBorders>
            <w:vAlign w:val="center"/>
          </w:tcPr>
          <w:p>
            <w:pPr>
              <w:pStyle w:val="Normal"/>
              <w:widowControl w:val="false"/>
              <w:ind w:right="24" w:hanging="0"/>
              <w:jc w:val="center"/>
              <w:rPr>
                <w:rFonts w:ascii="Verdana" w:hAnsi="Verdana" w:eastAsia="Verdana" w:cs="Verdana"/>
                <w:b/>
                <w:b/>
                <w:bCs/>
                <w:sz w:val="16"/>
                <w:szCs w:val="16"/>
              </w:rPr>
            </w:pPr>
            <w:r>
              <w:rPr>
                <w:rFonts w:eastAsia="Verdana" w:cs="Verdana" w:ascii="Verdana" w:hAnsi="Verdana"/>
                <w:b/>
                <w:bCs/>
                <w:sz w:val="16"/>
                <w:szCs w:val="16"/>
              </w:rPr>
              <w:t>6.000,00</w:t>
            </w:r>
          </w:p>
        </w:tc>
      </w:tr>
      <w:tr>
        <w:trPr>
          <w:trHeight w:val="464" w:hRule="atLeast"/>
        </w:trPr>
        <w:tc>
          <w:tcPr>
            <w:tcW w:w="5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jc w:val="center"/>
              <w:rPr>
                <w:rFonts w:ascii="Verdana" w:hAnsi="Verdana" w:eastAsia="Verdana" w:cs="Verdana"/>
                <w:b/>
                <w:b/>
                <w:bCs/>
                <w:sz w:val="16"/>
                <w:szCs w:val="16"/>
              </w:rPr>
            </w:pPr>
            <w:r>
              <w:rPr>
                <w:rFonts w:eastAsia="Verdana" w:cs="Verdana" w:ascii="Verdana" w:hAnsi="Verdana"/>
                <w:b/>
                <w:bCs/>
                <w:sz w:val="16"/>
                <w:szCs w:val="16"/>
              </w:rPr>
              <w:t>5</w:t>
            </w:r>
          </w:p>
        </w:tc>
        <w:tc>
          <w:tcPr>
            <w:tcW w:w="3772" w:type="dxa"/>
            <w:tcBorders>
              <w:top w:val="single" w:sz="6" w:space="0" w:color="000000"/>
              <w:left w:val="single" w:sz="6" w:space="0" w:color="000000"/>
              <w:bottom w:val="single" w:sz="6" w:space="0" w:color="000000"/>
              <w:right w:val="single" w:sz="6" w:space="0" w:color="000000"/>
            </w:tcBorders>
          </w:tcPr>
          <w:p>
            <w:pPr>
              <w:pStyle w:val="Normal"/>
              <w:widowControl w:val="false"/>
              <w:spacing w:before="107" w:after="0"/>
              <w:ind w:left="58" w:right="131" w:hanging="0"/>
              <w:jc w:val="both"/>
              <w:rPr>
                <w:rFonts w:ascii="Verdana" w:hAnsi="Verdana" w:eastAsia="Verdana" w:cs="Verdana"/>
                <w:sz w:val="16"/>
                <w:szCs w:val="16"/>
              </w:rPr>
            </w:pPr>
            <w:r>
              <w:rPr>
                <w:rFonts w:ascii="Verdana" w:hAnsi="Verdana"/>
                <w:b/>
                <w:bCs/>
                <w:color w:val="000000"/>
                <w:sz w:val="16"/>
                <w:szCs w:val="16"/>
              </w:rPr>
              <w:t>Película Arquitetônica de Controle Solar</w:t>
            </w:r>
            <w:r>
              <w:rPr>
                <w:rFonts w:ascii="Verdana" w:hAnsi="Verdana"/>
                <w:color w:val="000000"/>
                <w:sz w:val="16"/>
                <w:szCs w:val="16"/>
              </w:rPr>
              <w:t xml:space="preserve"> Rejeição de raios UV: 99%, Transmissão de luz visível: 15% a 20% Reflexão de luz visível: 58% a 62%,  Total de energia solar rejeitada: mínimo 66% Cor: prata/Fumê. Aplicação em todo o estado do Espírito Santo. Garantia mínima: 3 anos. Marca de referência: 3M¿ SILVER P18, INTERCONTROL SMART R20SI (http://intercontrol.com.br/site/produtos/peliculas-arquitetura/smart/)  ou tecnicamente compatível.</w:t>
            </w:r>
          </w:p>
        </w:tc>
        <w:tc>
          <w:tcPr>
            <w:tcW w:w="42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jc w:val="center"/>
              <w:rPr>
                <w:rFonts w:ascii="Verdana" w:hAnsi="Verdana" w:eastAsia="Verdana" w:cs="Verdana"/>
                <w:sz w:val="16"/>
                <w:szCs w:val="16"/>
              </w:rPr>
            </w:pPr>
            <w:r>
              <w:rPr>
                <w:rFonts w:eastAsia="Verdana" w:cs="Verdana" w:ascii="Verdana" w:hAnsi="Verdana"/>
                <w:sz w:val="16"/>
                <w:szCs w:val="16"/>
              </w:rPr>
              <w:t>m</w:t>
            </w:r>
          </w:p>
        </w:tc>
        <w:tc>
          <w:tcPr>
            <w:tcW w:w="99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25" w:after="0"/>
              <w:ind w:left="120" w:right="102" w:hanging="0"/>
              <w:jc w:val="center"/>
              <w:rPr>
                <w:rFonts w:ascii="Verdana" w:hAnsi="Verdana" w:eastAsia="Verdana" w:cs="Verdana"/>
                <w:sz w:val="16"/>
                <w:szCs w:val="16"/>
              </w:rPr>
            </w:pPr>
            <w:r>
              <w:rPr>
                <w:rFonts w:eastAsia="Verdana" w:cs="Verdana" w:ascii="Verdana" w:hAnsi="Verdana"/>
                <w:sz w:val="16"/>
                <w:szCs w:val="16"/>
              </w:rPr>
              <w:t>10</w:t>
            </w:r>
          </w:p>
        </w:tc>
        <w:tc>
          <w:tcPr>
            <w:tcW w:w="99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ind w:right="66" w:hanging="0"/>
              <w:jc w:val="center"/>
              <w:rPr>
                <w:rFonts w:ascii="Verdana" w:hAnsi="Verdana" w:eastAsia="Verdana" w:cs="Verdana"/>
                <w:sz w:val="16"/>
                <w:szCs w:val="16"/>
              </w:rPr>
            </w:pPr>
            <w:r>
              <w:rPr>
                <w:rFonts w:eastAsia="Verdana" w:cs="Verdana" w:ascii="Verdana" w:hAnsi="Verdana"/>
                <w:sz w:val="16"/>
                <w:szCs w:val="16"/>
              </w:rPr>
              <w:t>500</w:t>
            </w:r>
          </w:p>
        </w:tc>
        <w:tc>
          <w:tcPr>
            <w:tcW w:w="127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25" w:after="0"/>
              <w:ind w:left="149" w:hanging="0"/>
              <w:jc w:val="center"/>
              <w:rPr>
                <w:rFonts w:ascii="Verdana" w:hAnsi="Verdana" w:eastAsia="Verdana" w:cs="Verdana"/>
                <w:sz w:val="16"/>
                <w:szCs w:val="16"/>
              </w:rPr>
            </w:pPr>
            <w:r>
              <w:rPr>
                <w:rFonts w:eastAsia="Verdana" w:cs="Verdana" w:ascii="Verdana" w:hAnsi="Verdana"/>
                <w:sz w:val="16"/>
                <w:szCs w:val="16"/>
              </w:rPr>
              <w:t>131,50</w:t>
            </w:r>
          </w:p>
        </w:tc>
        <w:tc>
          <w:tcPr>
            <w:tcW w:w="1287" w:type="dxa"/>
            <w:tcBorders>
              <w:top w:val="single" w:sz="4" w:space="0" w:color="000000"/>
              <w:bottom w:val="single" w:sz="4" w:space="0" w:color="000000"/>
              <w:right w:val="single" w:sz="4" w:space="0" w:color="000000"/>
            </w:tcBorders>
            <w:vAlign w:val="center"/>
          </w:tcPr>
          <w:p>
            <w:pPr>
              <w:pStyle w:val="Normal"/>
              <w:widowControl w:val="false"/>
              <w:spacing w:before="25" w:after="0"/>
              <w:ind w:right="24" w:hanging="0"/>
              <w:jc w:val="center"/>
              <w:rPr>
                <w:rFonts w:ascii="Verdana" w:hAnsi="Verdana" w:eastAsia="Verdana" w:cs="Verdana"/>
                <w:b/>
                <w:b/>
                <w:bCs/>
                <w:sz w:val="16"/>
                <w:szCs w:val="16"/>
              </w:rPr>
            </w:pPr>
            <w:r>
              <w:rPr>
                <w:rFonts w:eastAsia="Verdana" w:cs="Verdana" w:ascii="Verdana" w:hAnsi="Verdana"/>
                <w:b/>
                <w:bCs/>
                <w:sz w:val="16"/>
                <w:szCs w:val="16"/>
              </w:rPr>
              <w:t>65.750,00</w:t>
            </w:r>
          </w:p>
        </w:tc>
      </w:tr>
      <w:tr>
        <w:trPr>
          <w:trHeight w:val="659" w:hRule="atLeast"/>
        </w:trPr>
        <w:tc>
          <w:tcPr>
            <w:tcW w:w="5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jc w:val="center"/>
              <w:rPr>
                <w:rFonts w:ascii="Verdana" w:hAnsi="Verdana" w:eastAsia="Verdana" w:cs="Verdana"/>
                <w:b/>
                <w:b/>
                <w:bCs/>
                <w:sz w:val="16"/>
                <w:szCs w:val="16"/>
              </w:rPr>
            </w:pPr>
            <w:r>
              <w:rPr>
                <w:rFonts w:eastAsia="Verdana" w:cs="Verdana" w:ascii="Verdana" w:hAnsi="Verdana"/>
                <w:b/>
                <w:bCs/>
                <w:sz w:val="16"/>
                <w:szCs w:val="16"/>
              </w:rPr>
              <w:t>6</w:t>
            </w:r>
          </w:p>
        </w:tc>
        <w:tc>
          <w:tcPr>
            <w:tcW w:w="3772" w:type="dxa"/>
            <w:tcBorders>
              <w:top w:val="single" w:sz="6" w:space="0" w:color="000000"/>
              <w:left w:val="single" w:sz="6" w:space="0" w:color="000000"/>
              <w:bottom w:val="single" w:sz="6" w:space="0" w:color="000000"/>
              <w:right w:val="single" w:sz="6" w:space="0" w:color="000000"/>
            </w:tcBorders>
          </w:tcPr>
          <w:p>
            <w:pPr>
              <w:pStyle w:val="Normal"/>
              <w:widowControl w:val="false"/>
              <w:spacing w:lineRule="auto" w:line="276" w:before="64" w:after="0"/>
              <w:ind w:left="58" w:right="131" w:hanging="0"/>
              <w:jc w:val="both"/>
              <w:rPr>
                <w:rFonts w:ascii="Verdana" w:hAnsi="Verdana" w:eastAsia="Verdana" w:cs="Verdana"/>
                <w:sz w:val="16"/>
                <w:szCs w:val="16"/>
              </w:rPr>
            </w:pPr>
            <w:r>
              <w:rPr>
                <w:rFonts w:ascii="Verdana" w:hAnsi="Verdana"/>
                <w:b/>
                <w:bCs/>
                <w:color w:val="000000"/>
                <w:sz w:val="16"/>
                <w:szCs w:val="16"/>
              </w:rPr>
              <w:t>Instalação de película arquitetônica ou decorativa</w:t>
            </w:r>
            <w:r>
              <w:rPr>
                <w:rFonts w:ascii="Verdana" w:hAnsi="Verdana"/>
                <w:color w:val="000000"/>
                <w:sz w:val="16"/>
                <w:szCs w:val="16"/>
              </w:rPr>
              <w:t>, com remoção de película existente e limpeza de vidro.</w:t>
            </w:r>
          </w:p>
        </w:tc>
        <w:tc>
          <w:tcPr>
            <w:tcW w:w="425" w:type="dxa"/>
            <w:tcBorders>
              <w:top w:val="single" w:sz="6" w:space="0" w:color="000000"/>
              <w:left w:val="single" w:sz="6" w:space="0" w:color="000000"/>
              <w:bottom w:val="single" w:sz="6" w:space="0" w:color="000000"/>
              <w:right w:val="single" w:sz="6" w:space="0" w:color="000000"/>
            </w:tcBorders>
            <w:vAlign w:val="center"/>
          </w:tcPr>
          <w:p>
            <w:pPr>
              <w:pStyle w:val="Ttulo2"/>
              <w:widowControl w:val="false"/>
              <w:spacing w:lineRule="auto" w:line="276" w:before="0" w:after="0"/>
              <w:ind w:right="27" w:hanging="0"/>
              <w:jc w:val="center"/>
              <w:rPr>
                <w:rFonts w:ascii="Verdana" w:hAnsi="Verdana" w:eastAsia="Verdana" w:cs="Verdana"/>
                <w:color w:val="auto"/>
                <w:sz w:val="16"/>
                <w:szCs w:val="16"/>
              </w:rPr>
            </w:pPr>
            <w:bookmarkStart w:id="6" w:name="_lycb8r3t20on"/>
            <w:bookmarkEnd w:id="6"/>
            <w:r>
              <w:rPr>
                <w:rFonts w:eastAsia="Verdana" w:cs="Verdana" w:ascii="Verdana" w:hAnsi="Verdana"/>
                <w:b w:val="false"/>
                <w:color w:val="auto"/>
                <w:sz w:val="16"/>
                <w:szCs w:val="16"/>
              </w:rPr>
              <w:t>m²</w:t>
            </w:r>
          </w:p>
        </w:tc>
        <w:tc>
          <w:tcPr>
            <w:tcW w:w="99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25" w:after="0"/>
              <w:ind w:left="123" w:right="102" w:hanging="0"/>
              <w:jc w:val="center"/>
              <w:rPr>
                <w:rFonts w:ascii="Verdana" w:hAnsi="Verdana" w:eastAsia="Verdana" w:cs="Verdana"/>
                <w:sz w:val="16"/>
                <w:szCs w:val="16"/>
              </w:rPr>
            </w:pPr>
            <w:r>
              <w:rPr>
                <w:rFonts w:eastAsia="Verdana" w:cs="Verdana" w:ascii="Verdana" w:hAnsi="Verdana"/>
                <w:sz w:val="16"/>
                <w:szCs w:val="16"/>
              </w:rPr>
              <w:t>5</w:t>
            </w:r>
          </w:p>
        </w:tc>
        <w:tc>
          <w:tcPr>
            <w:tcW w:w="99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ind w:right="66" w:hanging="0"/>
              <w:jc w:val="center"/>
              <w:rPr>
                <w:rFonts w:ascii="Verdana" w:hAnsi="Verdana" w:eastAsia="Verdana" w:cs="Verdana"/>
                <w:sz w:val="16"/>
                <w:szCs w:val="16"/>
              </w:rPr>
            </w:pPr>
            <w:r>
              <w:rPr>
                <w:rFonts w:eastAsia="Verdana" w:cs="Verdana" w:ascii="Verdana" w:hAnsi="Verdana"/>
                <w:sz w:val="16"/>
                <w:szCs w:val="16"/>
              </w:rPr>
              <w:t>700</w:t>
            </w:r>
          </w:p>
        </w:tc>
        <w:tc>
          <w:tcPr>
            <w:tcW w:w="127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25" w:after="0"/>
              <w:ind w:left="148" w:hanging="0"/>
              <w:jc w:val="center"/>
              <w:rPr>
                <w:rFonts w:ascii="Verdana" w:hAnsi="Verdana" w:eastAsia="Verdana" w:cs="Verdana"/>
                <w:sz w:val="16"/>
                <w:szCs w:val="16"/>
              </w:rPr>
            </w:pPr>
            <w:r>
              <w:rPr>
                <w:rFonts w:eastAsia="Verdana" w:cs="Verdana" w:ascii="Verdana" w:hAnsi="Verdana"/>
                <w:sz w:val="16"/>
                <w:szCs w:val="16"/>
              </w:rPr>
              <w:t>45,00</w:t>
            </w:r>
          </w:p>
        </w:tc>
        <w:tc>
          <w:tcPr>
            <w:tcW w:w="1287" w:type="dxa"/>
            <w:tcBorders>
              <w:top w:val="single" w:sz="4" w:space="0" w:color="000000"/>
              <w:bottom w:val="single" w:sz="4" w:space="0" w:color="000000"/>
              <w:right w:val="single" w:sz="4" w:space="0" w:color="000000"/>
            </w:tcBorders>
            <w:vAlign w:val="center"/>
          </w:tcPr>
          <w:p>
            <w:pPr>
              <w:pStyle w:val="Normal"/>
              <w:widowControl w:val="false"/>
              <w:spacing w:before="25" w:after="0"/>
              <w:ind w:right="28" w:hanging="0"/>
              <w:jc w:val="center"/>
              <w:rPr>
                <w:rFonts w:ascii="Verdana" w:hAnsi="Verdana" w:eastAsia="Verdana" w:cs="Verdana"/>
                <w:b/>
                <w:b/>
                <w:bCs/>
                <w:sz w:val="16"/>
                <w:szCs w:val="16"/>
              </w:rPr>
            </w:pPr>
            <w:r>
              <w:rPr>
                <w:rFonts w:eastAsia="Verdana" w:cs="Verdana" w:ascii="Verdana" w:hAnsi="Verdana"/>
                <w:b/>
                <w:bCs/>
                <w:sz w:val="16"/>
                <w:szCs w:val="16"/>
              </w:rPr>
              <w:t>31.500,00</w:t>
            </w:r>
          </w:p>
        </w:tc>
      </w:tr>
      <w:tr>
        <w:trPr>
          <w:trHeight w:val="659" w:hRule="atLeast"/>
        </w:trPr>
        <w:tc>
          <w:tcPr>
            <w:tcW w:w="5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1" w:after="0"/>
              <w:jc w:val="center"/>
              <w:rPr>
                <w:rFonts w:ascii="Verdana" w:hAnsi="Verdana" w:eastAsia="Verdana" w:cs="Verdana"/>
                <w:b/>
                <w:b/>
                <w:bCs/>
                <w:sz w:val="16"/>
                <w:szCs w:val="16"/>
              </w:rPr>
            </w:pPr>
            <w:r>
              <w:rPr>
                <w:rFonts w:eastAsia="Verdana" w:cs="Verdana" w:ascii="Verdana" w:hAnsi="Verdana"/>
                <w:b/>
                <w:bCs/>
                <w:sz w:val="16"/>
                <w:szCs w:val="16"/>
              </w:rPr>
              <w:t>7</w:t>
            </w:r>
          </w:p>
        </w:tc>
        <w:tc>
          <w:tcPr>
            <w:tcW w:w="3772" w:type="dxa"/>
            <w:tcBorders>
              <w:top w:val="single" w:sz="6" w:space="0" w:color="000000"/>
              <w:left w:val="single" w:sz="6" w:space="0" w:color="000000"/>
              <w:bottom w:val="single" w:sz="6" w:space="0" w:color="000000"/>
              <w:right w:val="single" w:sz="6" w:space="0" w:color="000000"/>
            </w:tcBorders>
          </w:tcPr>
          <w:p>
            <w:pPr>
              <w:pStyle w:val="Normal"/>
              <w:widowControl w:val="false"/>
              <w:spacing w:lineRule="auto" w:line="276" w:before="64" w:after="0"/>
              <w:ind w:left="58" w:right="131" w:hanging="46"/>
              <w:jc w:val="both"/>
              <w:rPr>
                <w:rFonts w:ascii="Verdana" w:hAnsi="Verdana" w:eastAsia="Verdana" w:cs="Verdana"/>
                <w:sz w:val="16"/>
                <w:szCs w:val="16"/>
              </w:rPr>
            </w:pPr>
            <w:r>
              <w:rPr>
                <w:rFonts w:ascii="Verdana" w:hAnsi="Verdana"/>
                <w:b/>
                <w:bCs/>
                <w:color w:val="000000"/>
                <w:sz w:val="16"/>
                <w:szCs w:val="16"/>
              </w:rPr>
              <w:t xml:space="preserve"> </w:t>
            </w:r>
            <w:r>
              <w:rPr>
                <w:rFonts w:ascii="Verdana" w:hAnsi="Verdana"/>
                <w:b/>
                <w:bCs/>
                <w:color w:val="000000"/>
                <w:sz w:val="16"/>
                <w:szCs w:val="16"/>
              </w:rPr>
              <w:t>Película Decorativa padrão solido</w:t>
            </w:r>
            <w:r>
              <w:rPr>
                <w:rFonts w:ascii="Verdana" w:hAnsi="Verdana"/>
                <w:color w:val="000000"/>
                <w:sz w:val="16"/>
                <w:szCs w:val="16"/>
              </w:rPr>
              <w:t xml:space="preserve"> branco opaco (sem faixas), com camada anti- risco. Garantia mínima: 5 anos Marca de referência: INTERCONTROL DECOWINDOW WHITE OUT 0W ou tecnicamente compatível.</w:t>
            </w:r>
          </w:p>
        </w:tc>
        <w:tc>
          <w:tcPr>
            <w:tcW w:w="425" w:type="dxa"/>
            <w:tcBorders>
              <w:top w:val="single" w:sz="6" w:space="0" w:color="000000"/>
              <w:left w:val="single" w:sz="6" w:space="0" w:color="000000"/>
              <w:bottom w:val="single" w:sz="6" w:space="0" w:color="000000"/>
              <w:right w:val="single" w:sz="6" w:space="0" w:color="000000"/>
            </w:tcBorders>
            <w:vAlign w:val="center"/>
          </w:tcPr>
          <w:p>
            <w:pPr>
              <w:pStyle w:val="Ttulo2"/>
              <w:widowControl w:val="false"/>
              <w:spacing w:lineRule="auto" w:line="276" w:before="0" w:after="0"/>
              <w:ind w:right="27" w:hanging="0"/>
              <w:jc w:val="center"/>
              <w:rPr>
                <w:rFonts w:ascii="Verdana" w:hAnsi="Verdana" w:eastAsia="Verdana" w:cs="Verdana"/>
                <w:color w:val="auto"/>
                <w:sz w:val="16"/>
                <w:szCs w:val="16"/>
              </w:rPr>
            </w:pPr>
            <w:bookmarkStart w:id="7" w:name="_pf9fwihjeocb"/>
            <w:bookmarkEnd w:id="7"/>
            <w:r>
              <w:rPr>
                <w:rFonts w:eastAsia="Verdana" w:cs="Verdana" w:ascii="Verdana" w:hAnsi="Verdana"/>
                <w:b w:val="false"/>
                <w:color w:val="auto"/>
                <w:sz w:val="16"/>
                <w:szCs w:val="16"/>
              </w:rPr>
              <w:t>m²</w:t>
            </w:r>
          </w:p>
        </w:tc>
        <w:tc>
          <w:tcPr>
            <w:tcW w:w="99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25" w:after="0"/>
              <w:ind w:left="120" w:right="102" w:hanging="0"/>
              <w:jc w:val="center"/>
              <w:rPr>
                <w:rFonts w:ascii="Verdana" w:hAnsi="Verdana" w:eastAsia="Verdana" w:cs="Verdana"/>
                <w:sz w:val="16"/>
                <w:szCs w:val="16"/>
              </w:rPr>
            </w:pPr>
            <w:r>
              <w:rPr>
                <w:rFonts w:eastAsia="Verdana" w:cs="Verdana" w:ascii="Verdana" w:hAnsi="Verdana"/>
                <w:sz w:val="16"/>
                <w:szCs w:val="16"/>
              </w:rPr>
              <w:t>5</w:t>
            </w:r>
          </w:p>
        </w:tc>
        <w:tc>
          <w:tcPr>
            <w:tcW w:w="99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1" w:after="0"/>
              <w:ind w:right="66" w:hanging="0"/>
              <w:jc w:val="center"/>
              <w:rPr>
                <w:rFonts w:ascii="Verdana" w:hAnsi="Verdana" w:eastAsia="Verdana" w:cs="Verdana"/>
                <w:sz w:val="16"/>
                <w:szCs w:val="16"/>
              </w:rPr>
            </w:pPr>
            <w:r>
              <w:rPr>
                <w:rFonts w:eastAsia="Verdana" w:cs="Verdana" w:ascii="Verdana" w:hAnsi="Verdana"/>
                <w:sz w:val="16"/>
                <w:szCs w:val="16"/>
              </w:rPr>
              <w:t>200</w:t>
            </w:r>
          </w:p>
        </w:tc>
        <w:tc>
          <w:tcPr>
            <w:tcW w:w="127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25" w:after="0"/>
              <w:ind w:left="101" w:hanging="0"/>
              <w:jc w:val="center"/>
              <w:rPr>
                <w:rFonts w:ascii="Verdana" w:hAnsi="Verdana" w:eastAsia="Verdana" w:cs="Verdana"/>
                <w:sz w:val="16"/>
                <w:szCs w:val="16"/>
              </w:rPr>
            </w:pPr>
            <w:r>
              <w:rPr>
                <w:rFonts w:eastAsia="Verdana" w:cs="Verdana" w:ascii="Verdana" w:hAnsi="Verdana"/>
                <w:sz w:val="16"/>
                <w:szCs w:val="16"/>
              </w:rPr>
              <w:t>104,12</w:t>
            </w:r>
          </w:p>
        </w:tc>
        <w:tc>
          <w:tcPr>
            <w:tcW w:w="1287" w:type="dxa"/>
            <w:tcBorders>
              <w:top w:val="single" w:sz="4" w:space="0" w:color="000000"/>
              <w:bottom w:val="single" w:sz="4" w:space="0" w:color="000000"/>
              <w:right w:val="single" w:sz="4" w:space="0" w:color="000000"/>
            </w:tcBorders>
            <w:vAlign w:val="center"/>
          </w:tcPr>
          <w:p>
            <w:pPr>
              <w:pStyle w:val="Normal"/>
              <w:widowControl w:val="false"/>
              <w:spacing w:before="25" w:after="0"/>
              <w:ind w:right="24" w:hanging="0"/>
              <w:jc w:val="center"/>
              <w:rPr>
                <w:rFonts w:ascii="Verdana" w:hAnsi="Verdana" w:eastAsia="Verdana" w:cs="Verdana"/>
                <w:b/>
                <w:b/>
                <w:bCs/>
                <w:sz w:val="16"/>
                <w:szCs w:val="16"/>
              </w:rPr>
            </w:pPr>
            <w:r>
              <w:rPr>
                <w:rFonts w:eastAsia="Verdana" w:cs="Verdana" w:ascii="Verdana" w:hAnsi="Verdana"/>
                <w:b/>
                <w:bCs/>
                <w:sz w:val="16"/>
                <w:szCs w:val="16"/>
              </w:rPr>
              <w:t>20.824,00</w:t>
            </w:r>
          </w:p>
        </w:tc>
      </w:tr>
      <w:tr>
        <w:trPr>
          <w:trHeight w:val="129" w:hRule="atLeast"/>
        </w:trPr>
        <w:tc>
          <w:tcPr>
            <w:tcW w:w="8057" w:type="dxa"/>
            <w:gridSpan w:val="6"/>
            <w:tcBorders>
              <w:top w:val="single" w:sz="6" w:space="0" w:color="000000"/>
              <w:left w:val="single" w:sz="6" w:space="0" w:color="000000"/>
              <w:bottom w:val="single" w:sz="6" w:space="0" w:color="000000"/>
              <w:right w:val="single" w:sz="6" w:space="0" w:color="000000"/>
            </w:tcBorders>
            <w:shd w:color="auto" w:fill="CCCCCC" w:val="clear"/>
          </w:tcPr>
          <w:p>
            <w:pPr>
              <w:pStyle w:val="Normal"/>
              <w:widowControl w:val="false"/>
              <w:jc w:val="right"/>
              <w:rPr>
                <w:rFonts w:ascii="Verdana" w:hAnsi="Verdana" w:eastAsia="Verdana" w:cs="Verdana"/>
                <w:sz w:val="16"/>
                <w:szCs w:val="16"/>
                <w:shd w:fill="CCCCCC" w:val="clear"/>
              </w:rPr>
            </w:pPr>
            <w:r>
              <w:rPr>
                <w:rFonts w:eastAsia="Verdana" w:cs="Verdana" w:ascii="Verdana" w:hAnsi="Verdana"/>
                <w:b/>
                <w:sz w:val="16"/>
                <w:szCs w:val="16"/>
                <w:shd w:fill="CCCCCC" w:val="clear"/>
              </w:rPr>
              <w:t>VALOR TOTAL MÁXIMO DO LOTE ÚNIC</w:t>
            </w:r>
            <w:r>
              <w:rPr>
                <w:rFonts w:eastAsia="Verdana" w:cs="Verdana" w:ascii="Verdana" w:hAnsi="Verdana"/>
                <w:b/>
                <w:bCs/>
                <w:sz w:val="16"/>
                <w:szCs w:val="16"/>
                <w:shd w:fill="CCCCCC" w:val="clear"/>
              </w:rPr>
              <w:t>O</w:t>
            </w:r>
          </w:p>
        </w:tc>
        <w:tc>
          <w:tcPr>
            <w:tcW w:w="1287" w:type="dxa"/>
            <w:tcBorders>
              <w:top w:val="single" w:sz="4" w:space="0" w:color="000000"/>
              <w:bottom w:val="single" w:sz="6" w:space="0" w:color="000000"/>
              <w:right w:val="single" w:sz="4" w:space="0" w:color="000000"/>
            </w:tcBorders>
            <w:shd w:color="auto" w:fill="CCCCCC" w:val="clear"/>
          </w:tcPr>
          <w:p>
            <w:pPr>
              <w:pStyle w:val="Normal"/>
              <w:widowControl w:val="false"/>
              <w:ind w:right="24" w:hanging="0"/>
              <w:jc w:val="center"/>
              <w:rPr>
                <w:rFonts w:ascii="Verdana" w:hAnsi="Verdana" w:eastAsia="Verdana" w:cs="Verdana"/>
                <w:b/>
                <w:b/>
                <w:sz w:val="16"/>
                <w:szCs w:val="16"/>
                <w:shd w:fill="CCCCCC" w:val="clear"/>
              </w:rPr>
            </w:pPr>
            <w:r>
              <w:rPr>
                <w:rFonts w:eastAsia="Verdana" w:cs="Verdana" w:ascii="Verdana" w:hAnsi="Verdana"/>
                <w:b/>
                <w:sz w:val="16"/>
                <w:szCs w:val="16"/>
                <w:shd w:fill="CCCCCC" w:val="clear"/>
              </w:rPr>
              <w:t>424.474,00</w:t>
            </w:r>
          </w:p>
        </w:tc>
      </w:tr>
    </w:tbl>
    <w:p>
      <w:pPr>
        <w:pStyle w:val="Normal"/>
        <w:rPr>
          <w:rFonts w:ascii="Verdana" w:hAnsi="Verdana" w:eastAsia="Verdana" w:cs="Verdana"/>
          <w:b/>
          <w:b/>
          <w:sz w:val="18"/>
          <w:szCs w:val="18"/>
        </w:rPr>
      </w:pPr>
      <w:r>
        <w:rPr>
          <w:rFonts w:eastAsia="Verdana" w:cs="Verdana" w:ascii="Verdana" w:hAnsi="Verdana"/>
          <w:b/>
          <w:sz w:val="18"/>
          <w:szCs w:val="18"/>
        </w:rPr>
      </w:r>
    </w:p>
    <w:p>
      <w:pPr>
        <w:pStyle w:val="Normal"/>
        <w:jc w:val="both"/>
        <w:rPr>
          <w:rFonts w:ascii="Verdana" w:hAnsi="Verdana" w:eastAsia="Verdana" w:cs="Verdana"/>
          <w:b/>
          <w:b/>
          <w:sz w:val="18"/>
          <w:szCs w:val="18"/>
        </w:rPr>
      </w:pPr>
      <w:r>
        <w:rPr>
          <w:rFonts w:eastAsia="Verdana" w:cs="Verdana" w:ascii="Verdana" w:hAnsi="Verdana"/>
          <w:b/>
          <w:sz w:val="18"/>
          <w:szCs w:val="18"/>
        </w:rPr>
        <w:t>A proposta apresentada deverá atender a todas as condições estipuladas no Termo de Referência e no item 4.7 do Edital.</w:t>
      </w:r>
    </w:p>
    <w:p>
      <w:pPr>
        <w:pStyle w:val="Normal"/>
        <w:rPr>
          <w:rFonts w:ascii="Verdana" w:hAnsi="Verdana" w:eastAsia="Verdana" w:cs="Verdana"/>
          <w:b/>
          <w:b/>
          <w:sz w:val="18"/>
          <w:szCs w:val="18"/>
        </w:rPr>
      </w:pPr>
      <w:r>
        <w:rPr>
          <w:rFonts w:eastAsia="Verdana" w:cs="Verdana" w:ascii="Verdana" w:hAnsi="Verdana"/>
          <w:b/>
          <w:sz w:val="18"/>
          <w:szCs w:val="18"/>
        </w:rPr>
      </w:r>
    </w:p>
    <w:p>
      <w:pPr>
        <w:pStyle w:val="Normal"/>
        <w:tabs>
          <w:tab w:val="clear" w:pos="720"/>
          <w:tab w:val="left" w:pos="-2127" w:leader="none"/>
          <w:tab w:val="left" w:pos="-1985" w:leader="none"/>
          <w:tab w:val="left" w:pos="1134" w:leader="none"/>
        </w:tabs>
        <w:jc w:val="both"/>
        <w:rPr>
          <w:rFonts w:ascii="Verdana" w:hAnsi="Verdana" w:eastAsia="Verdana" w:cs="Verdana"/>
          <w:sz w:val="18"/>
          <w:szCs w:val="18"/>
        </w:rPr>
      </w:pPr>
      <w:r>
        <w:rPr>
          <w:rFonts w:eastAsia="Verdana" w:cs="Verdana" w:ascii="Verdana" w:hAnsi="Verdana"/>
          <w:sz w:val="18"/>
          <w:szCs w:val="18"/>
        </w:rPr>
        <w:t>Em cumprimento à</w:t>
      </w:r>
      <w:r>
        <w:rPr>
          <w:rFonts w:eastAsia="Verdana" w:cs="Verdana" w:ascii="Verdana" w:hAnsi="Verdana"/>
          <w:b/>
          <w:sz w:val="18"/>
          <w:szCs w:val="18"/>
        </w:rPr>
        <w:t xml:space="preserve"> </w:t>
      </w:r>
      <w:r>
        <w:rPr>
          <w:rFonts w:eastAsia="Verdana" w:cs="Verdana" w:ascii="Verdana" w:hAnsi="Verdana"/>
          <w:sz w:val="18"/>
          <w:szCs w:val="18"/>
        </w:rPr>
        <w:t xml:space="preserve">Resolução do </w:t>
      </w:r>
      <w:r>
        <w:rPr>
          <w:rFonts w:eastAsia="Verdana" w:cs="Verdana" w:ascii="Verdana" w:hAnsi="Verdana"/>
          <w:b/>
          <w:sz w:val="18"/>
          <w:szCs w:val="18"/>
        </w:rPr>
        <w:t>CNJ nº 07/2005</w:t>
      </w:r>
      <w:r>
        <w:rPr>
          <w:rFonts w:eastAsia="Verdana" w:cs="Verdana" w:ascii="Verdana" w:hAnsi="Verdana"/>
          <w:sz w:val="18"/>
          <w:szCs w:val="18"/>
        </w:rPr>
        <w:t xml:space="preserve">, atualizada pela </w:t>
      </w:r>
      <w:r>
        <w:rPr>
          <w:rFonts w:eastAsia="Verdana" w:cs="Verdana" w:ascii="Verdana" w:hAnsi="Verdana"/>
          <w:b/>
          <w:sz w:val="18"/>
          <w:szCs w:val="18"/>
        </w:rPr>
        <w:t>Resolução  nº 229, de 22.06.16</w:t>
      </w:r>
      <w:r>
        <w:rPr>
          <w:rFonts w:eastAsia="Verdana" w:cs="Verdana" w:ascii="Verdana" w:hAnsi="Verdana"/>
          <w:sz w:val="18"/>
          <w:szCs w:val="18"/>
        </w:rPr>
        <w:t xml:space="preserve">, </w:t>
      </w:r>
      <w:r>
        <w:rPr>
          <w:rFonts w:eastAsia="Verdana" w:cs="Verdana" w:ascii="Verdana" w:hAnsi="Verdana"/>
          <w:b/>
          <w:sz w:val="18"/>
          <w:szCs w:val="18"/>
        </w:rPr>
        <w:t>DECLARAMOS</w:t>
      </w:r>
      <w:r>
        <w:rPr>
          <w:rFonts w:eastAsia="Verdana" w:cs="Verdana" w:ascii="Verdana" w:hAnsi="Verdana"/>
          <w:sz w:val="18"/>
          <w:szCs w:val="18"/>
        </w:rPr>
        <w:t xml:space="preserve"> que nossos diretores, gerentes, representantes legais ou técnicos, membros de conselho técnico, consultivo, deliberativo ou administrativo ou sócios, não são membros ou servidores do Poder Judiciário do Espírito Santo e que não temos em nosso quadro societário cônjuge, companheiro ou parente em linha reta, colateral ou por afinidade até o terceiro grau, inclusive, dos magistrados ocupantes de cargos de direção ou no exercício de funções administrativas, assim como de servidores ocupantes de cargos de direção, chefia e assessoramento vinculados direta ou indiretamente às unidades situadas na linha hierárquica da área encarregada da licitação do Poder Judiciário do estado do Espírito Santo. </w:t>
      </w:r>
    </w:p>
    <w:p>
      <w:pPr>
        <w:pStyle w:val="Normal"/>
        <w:tabs>
          <w:tab w:val="clear" w:pos="720"/>
          <w:tab w:val="left" w:pos="-2127" w:leader="none"/>
          <w:tab w:val="left" w:pos="-1985" w:leader="none"/>
          <w:tab w:val="left" w:pos="1134" w:leader="none"/>
        </w:tabs>
        <w:jc w:val="both"/>
        <w:rPr>
          <w:rFonts w:ascii="Verdana" w:hAnsi="Verdana" w:eastAsia="Verdana" w:cs="Verdana"/>
          <w:sz w:val="18"/>
          <w:szCs w:val="18"/>
        </w:rPr>
      </w:pPr>
      <w:r>
        <w:rPr>
          <w:rFonts w:eastAsia="Verdana" w:cs="Verdana" w:ascii="Verdana" w:hAnsi="Verdana"/>
          <w:sz w:val="18"/>
          <w:szCs w:val="18"/>
        </w:rPr>
      </w:r>
    </w:p>
    <w:p>
      <w:pPr>
        <w:pStyle w:val="Normal"/>
        <w:tabs>
          <w:tab w:val="clear" w:pos="720"/>
          <w:tab w:val="left" w:pos="-2127" w:leader="none"/>
          <w:tab w:val="left" w:pos="-1985" w:leader="none"/>
          <w:tab w:val="left" w:pos="1134" w:leader="none"/>
        </w:tabs>
        <w:jc w:val="both"/>
        <w:rPr>
          <w:rFonts w:ascii="Verdana" w:hAnsi="Verdana" w:eastAsia="Verdana" w:cs="Verdana"/>
          <w:sz w:val="18"/>
          <w:szCs w:val="18"/>
        </w:rPr>
      </w:pPr>
      <w:r>
        <w:rPr>
          <w:rFonts w:eastAsia="Verdana" w:cs="Verdana" w:ascii="Verdana" w:hAnsi="Verdana"/>
          <w:sz w:val="18"/>
          <w:szCs w:val="18"/>
        </w:rPr>
        <w:t xml:space="preserve">Informamos que a validade da nossa proposta é de </w:t>
      </w:r>
      <w:r>
        <w:rPr>
          <w:rFonts w:eastAsia="Verdana" w:cs="Verdana" w:ascii="Verdana" w:hAnsi="Verdana"/>
          <w:b/>
          <w:sz w:val="18"/>
          <w:szCs w:val="18"/>
        </w:rPr>
        <w:t>90 (noventa)</w:t>
      </w:r>
      <w:r>
        <w:rPr>
          <w:rFonts w:eastAsia="Verdana" w:cs="Verdana" w:ascii="Verdana" w:hAnsi="Verdana"/>
          <w:sz w:val="18"/>
          <w:szCs w:val="18"/>
        </w:rPr>
        <w:t xml:space="preserve"> dias corridos, a contar da data de</w:t>
      </w:r>
    </w:p>
    <w:p>
      <w:pPr>
        <w:pStyle w:val="Normal"/>
        <w:tabs>
          <w:tab w:val="clear" w:pos="720"/>
          <w:tab w:val="left" w:pos="-2127" w:leader="none"/>
          <w:tab w:val="left" w:pos="-1985" w:leader="none"/>
          <w:tab w:val="left" w:pos="1134" w:leader="none"/>
        </w:tabs>
        <w:jc w:val="both"/>
        <w:rPr>
          <w:rFonts w:ascii="Verdana" w:hAnsi="Verdana" w:eastAsia="Verdana" w:cs="Verdana"/>
          <w:sz w:val="18"/>
          <w:szCs w:val="18"/>
        </w:rPr>
      </w:pPr>
      <w:r>
        <w:rPr>
          <w:rFonts w:eastAsia="Verdana" w:cs="Verdana" w:ascii="Verdana" w:hAnsi="Verdana"/>
          <w:sz w:val="18"/>
          <w:szCs w:val="18"/>
        </w:rPr>
        <w:t>apresentação.</w:t>
      </w:r>
    </w:p>
    <w:p>
      <w:pPr>
        <w:pStyle w:val="Normal"/>
        <w:tabs>
          <w:tab w:val="clear" w:pos="720"/>
          <w:tab w:val="left" w:pos="-2127" w:leader="none"/>
          <w:tab w:val="left" w:pos="-1985" w:leader="none"/>
          <w:tab w:val="left" w:pos="1134" w:leader="none"/>
        </w:tabs>
        <w:jc w:val="both"/>
        <w:rPr>
          <w:rFonts w:ascii="Verdana" w:hAnsi="Verdana" w:eastAsia="Verdana" w:cs="Verdana"/>
          <w:sz w:val="18"/>
          <w:szCs w:val="18"/>
        </w:rPr>
      </w:pPr>
      <w:r>
        <w:rPr>
          <w:rFonts w:eastAsia="Verdana" w:cs="Verdana" w:ascii="Verdana" w:hAnsi="Verdana"/>
          <w:sz w:val="18"/>
          <w:szCs w:val="18"/>
        </w:rPr>
      </w:r>
    </w:p>
    <w:p>
      <w:pPr>
        <w:pStyle w:val="Normal"/>
        <w:jc w:val="both"/>
        <w:rPr>
          <w:rFonts w:ascii="Verdana" w:hAnsi="Verdana" w:eastAsia="Verdana" w:cs="Verdana"/>
          <w:b/>
          <w:b/>
          <w:sz w:val="18"/>
          <w:szCs w:val="18"/>
        </w:rPr>
      </w:pPr>
      <w:r>
        <w:rPr>
          <w:rFonts w:eastAsia="Verdana" w:cs="Verdana" w:ascii="Verdana" w:hAnsi="Verdana"/>
          <w:sz w:val="18"/>
          <w:szCs w:val="18"/>
        </w:rPr>
        <w:t>Declaramos que nos valores estão incluídas todas as obrigações legais e as despesas decorrentes e necessárias à efetiva execução dos serviços contratados, não sendo admitido nenhum acréscimo na proposta, tais como despesas com pessoal, seja de mão de obra própria ou locada, salários, alimentação, transportes, fretes, tributos em geral, incidências fiscais, comerciais, taxas e contribuições de qualquer natureza ou espécie, emolumentos em geral, seguros, encargos sociais, trabalhistas, previdenciários, comerciais e quaisquer outros encargos decorrentes do exercício profissional de seus funcionários ou terceirizados, que venham a incidir direta ou indiretamente sobre a execução do objeto contratado, não cabendo à proponente qualquer reclamação posterior.</w:t>
      </w:r>
    </w:p>
    <w:p>
      <w:pPr>
        <w:pStyle w:val="Normal"/>
        <w:jc w:val="both"/>
        <w:rPr>
          <w:rFonts w:ascii="Verdana" w:hAnsi="Verdana" w:eastAsia="Verdana" w:cs="Verdana"/>
          <w:b/>
          <w:b/>
          <w:sz w:val="18"/>
          <w:szCs w:val="18"/>
        </w:rPr>
      </w:pPr>
      <w:r>
        <w:rPr>
          <w:rFonts w:eastAsia="Verdana" w:cs="Verdana" w:ascii="Verdana" w:hAnsi="Verdana"/>
          <w:b/>
          <w:sz w:val="18"/>
          <w:szCs w:val="18"/>
        </w:rPr>
      </w:r>
    </w:p>
    <w:p>
      <w:pPr>
        <w:pStyle w:val="Normal"/>
        <w:jc w:val="both"/>
        <w:rPr>
          <w:rFonts w:ascii="Verdana" w:hAnsi="Verdana" w:eastAsia="Verdana" w:cs="Verdana"/>
          <w:b/>
          <w:b/>
          <w:sz w:val="18"/>
          <w:szCs w:val="18"/>
        </w:rPr>
      </w:pPr>
      <w:r>
        <w:rPr>
          <w:rFonts w:eastAsia="Verdana" w:cs="Verdana" w:ascii="Verdana" w:hAnsi="Verdana"/>
          <w:b/>
          <w:sz w:val="18"/>
          <w:szCs w:val="18"/>
        </w:rPr>
        <w:t>Dados da Empresa:                  Dados do Representante Legal que irá assinar a Ata de RP:</w:t>
      </w:r>
    </w:p>
    <w:p>
      <w:pPr>
        <w:pStyle w:val="Normal"/>
        <w:jc w:val="both"/>
        <w:rPr>
          <w:rFonts w:ascii="Verdana" w:hAnsi="Verdana" w:eastAsia="Verdana" w:cs="Verdana"/>
          <w:sz w:val="18"/>
          <w:szCs w:val="18"/>
        </w:rPr>
      </w:pPr>
      <w:r>
        <w:rPr>
          <w:rFonts w:eastAsia="Verdana" w:cs="Verdana" w:ascii="Verdana" w:hAnsi="Verdana"/>
          <w:sz w:val="18"/>
          <w:szCs w:val="18"/>
        </w:rPr>
        <w:t>Razão Social:                             Nome completo do representante:</w:t>
      </w:r>
    </w:p>
    <w:p>
      <w:pPr>
        <w:pStyle w:val="Normal"/>
        <w:jc w:val="both"/>
        <w:rPr>
          <w:rFonts w:ascii="Verdana" w:hAnsi="Verdana" w:eastAsia="Verdana" w:cs="Verdana"/>
          <w:sz w:val="18"/>
          <w:szCs w:val="18"/>
        </w:rPr>
      </w:pPr>
      <w:r>
        <w:rPr>
          <w:rFonts w:eastAsia="Verdana" w:cs="Verdana" w:ascii="Verdana" w:hAnsi="Verdana"/>
          <w:sz w:val="18"/>
          <w:szCs w:val="18"/>
        </w:rPr>
        <w:t>Endereço:                                  Cargo:</w:t>
      </w:r>
    </w:p>
    <w:p>
      <w:pPr>
        <w:pStyle w:val="Normal"/>
        <w:jc w:val="both"/>
        <w:rPr>
          <w:rFonts w:ascii="Verdana" w:hAnsi="Verdana" w:eastAsia="Verdana" w:cs="Verdana"/>
          <w:sz w:val="18"/>
          <w:szCs w:val="18"/>
        </w:rPr>
      </w:pPr>
      <w:r>
        <w:rPr>
          <w:rFonts w:eastAsia="Verdana" w:cs="Verdana" w:ascii="Verdana" w:hAnsi="Verdana"/>
          <w:sz w:val="18"/>
          <w:szCs w:val="18"/>
        </w:rPr>
        <w:t>CNPJ:                                        RG nº:</w:t>
      </w:r>
    </w:p>
    <w:p>
      <w:pPr>
        <w:pStyle w:val="Normal"/>
        <w:jc w:val="both"/>
        <w:rPr>
          <w:rFonts w:ascii="Verdana" w:hAnsi="Verdana" w:eastAsia="Verdana" w:cs="Verdana"/>
          <w:sz w:val="18"/>
          <w:szCs w:val="18"/>
        </w:rPr>
      </w:pPr>
      <w:r>
        <w:rPr>
          <w:rFonts w:eastAsia="Verdana" w:cs="Verdana" w:ascii="Verdana" w:hAnsi="Verdana"/>
          <w:sz w:val="18"/>
          <w:szCs w:val="18"/>
        </w:rPr>
        <w:t>Telefone:                                   CPF nº:E-mail:</w:t>
      </w:r>
    </w:p>
    <w:p>
      <w:pPr>
        <w:pStyle w:val="Normal"/>
        <w:jc w:val="right"/>
        <w:rPr>
          <w:rFonts w:ascii="Verdana" w:hAnsi="Verdana" w:eastAsia="Verdana" w:cs="Verdana"/>
          <w:sz w:val="18"/>
          <w:szCs w:val="18"/>
        </w:rPr>
      </w:pPr>
      <w:r>
        <w:rPr>
          <w:rFonts w:eastAsia="Verdana" w:cs="Verdana" w:ascii="Verdana" w:hAnsi="Verdana"/>
          <w:sz w:val="18"/>
          <w:szCs w:val="18"/>
        </w:rPr>
      </w:r>
    </w:p>
    <w:p>
      <w:pPr>
        <w:pStyle w:val="Normal"/>
        <w:jc w:val="center"/>
        <w:rPr>
          <w:rFonts w:ascii="Verdana" w:hAnsi="Verdana" w:eastAsia="Verdana" w:cs="Verdana"/>
          <w:sz w:val="18"/>
          <w:szCs w:val="18"/>
        </w:rPr>
      </w:pPr>
      <w:r>
        <w:rPr>
          <w:rFonts w:eastAsia="Verdana" w:cs="Verdana" w:ascii="Verdana" w:hAnsi="Verdana"/>
          <w:sz w:val="18"/>
          <w:szCs w:val="18"/>
        </w:rPr>
        <w:t>Local e data.</w:t>
      </w:r>
    </w:p>
    <w:p>
      <w:pPr>
        <w:pStyle w:val="Normal"/>
        <w:jc w:val="right"/>
        <w:rPr>
          <w:rFonts w:ascii="Verdana" w:hAnsi="Verdana" w:eastAsia="Verdana" w:cs="Verdana"/>
          <w:sz w:val="18"/>
          <w:szCs w:val="18"/>
        </w:rPr>
      </w:pPr>
      <w:r>
        <w:rPr>
          <w:rFonts w:eastAsia="Verdana" w:cs="Verdana" w:ascii="Verdana" w:hAnsi="Verdana"/>
          <w:sz w:val="18"/>
          <w:szCs w:val="18"/>
        </w:rPr>
      </w:r>
    </w:p>
    <w:p>
      <w:pPr>
        <w:pStyle w:val="Normal"/>
        <w:tabs>
          <w:tab w:val="clear" w:pos="720"/>
          <w:tab w:val="left" w:pos="-2127" w:leader="none"/>
          <w:tab w:val="left" w:pos="-1985" w:leader="none"/>
          <w:tab w:val="left" w:pos="1134" w:leader="none"/>
        </w:tabs>
        <w:jc w:val="center"/>
        <w:rPr>
          <w:rFonts w:ascii="Verdana" w:hAnsi="Verdana" w:eastAsia="Verdana" w:cs="Verdana"/>
          <w:b/>
          <w:b/>
          <w:sz w:val="18"/>
          <w:szCs w:val="18"/>
        </w:rPr>
      </w:pPr>
      <w:r>
        <w:rPr>
          <w:rFonts w:eastAsia="Verdana" w:cs="Verdana" w:ascii="Verdana" w:hAnsi="Verdana"/>
          <w:b/>
          <w:sz w:val="18"/>
          <w:szCs w:val="18"/>
        </w:rPr>
        <w:t>Empresa/CNPJ</w:t>
      </w:r>
    </w:p>
    <w:p>
      <w:pPr>
        <w:pStyle w:val="Normal"/>
        <w:tabs>
          <w:tab w:val="clear" w:pos="720"/>
          <w:tab w:val="left" w:pos="-2127" w:leader="none"/>
          <w:tab w:val="left" w:pos="-1985" w:leader="none"/>
          <w:tab w:val="left" w:pos="1134" w:leader="none"/>
        </w:tabs>
        <w:jc w:val="center"/>
        <w:rPr>
          <w:rFonts w:ascii="Verdana" w:hAnsi="Verdana" w:eastAsia="Verdana" w:cs="Verdana"/>
          <w:b/>
          <w:b/>
          <w:sz w:val="18"/>
          <w:szCs w:val="18"/>
        </w:rPr>
      </w:pPr>
      <w:r>
        <w:rPr>
          <w:rFonts w:eastAsia="Verdana" w:cs="Verdana" w:ascii="Verdana" w:hAnsi="Verdana"/>
          <w:b/>
          <w:sz w:val="18"/>
          <w:szCs w:val="18"/>
        </w:rPr>
      </w:r>
    </w:p>
    <w:p>
      <w:pPr>
        <w:pStyle w:val="Normal"/>
        <w:tabs>
          <w:tab w:val="clear" w:pos="720"/>
          <w:tab w:val="left" w:pos="-2127" w:leader="none"/>
          <w:tab w:val="left" w:pos="-1985" w:leader="none"/>
          <w:tab w:val="left" w:pos="1134" w:leader="none"/>
        </w:tabs>
        <w:jc w:val="center"/>
        <w:rPr>
          <w:rFonts w:ascii="Verdana" w:hAnsi="Verdana" w:eastAsia="Verdana" w:cs="Verdana"/>
          <w:b/>
          <w:b/>
          <w:sz w:val="18"/>
          <w:szCs w:val="18"/>
        </w:rPr>
      </w:pPr>
      <w:r>
        <w:rPr>
          <w:rFonts w:eastAsia="Verdana" w:cs="Verdana" w:ascii="Verdana" w:hAnsi="Verdana"/>
          <w:b/>
          <w:sz w:val="18"/>
          <w:szCs w:val="18"/>
        </w:rPr>
      </w:r>
    </w:p>
    <w:p>
      <w:pPr>
        <w:pStyle w:val="Normal"/>
        <w:shd w:val="clear" w:color="auto" w:fill="D9D9D9"/>
        <w:jc w:val="center"/>
        <w:rPr>
          <w:rFonts w:ascii="Verdana" w:hAnsi="Verdana" w:eastAsia="Verdana" w:cs="Verdana"/>
          <w:b/>
          <w:b/>
          <w:sz w:val="18"/>
          <w:szCs w:val="18"/>
        </w:rPr>
      </w:pPr>
      <w:r>
        <w:rPr>
          <w:rFonts w:eastAsia="Verdana" w:cs="Verdana" w:ascii="Verdana" w:hAnsi="Verdana"/>
          <w:b/>
          <w:sz w:val="18"/>
          <w:szCs w:val="18"/>
        </w:rPr>
        <w:t>ANEXO III - MINUTA DA ATA DE REGISTRO DE PREÇOS - LEI Nº 14.133/2021</w:t>
      </w:r>
    </w:p>
    <w:p>
      <w:pPr>
        <w:pStyle w:val="Normal"/>
        <w:jc w:val="center"/>
        <w:rPr>
          <w:rFonts w:ascii="Verdana" w:hAnsi="Verdana" w:eastAsia="Verdana" w:cs="Verdana"/>
          <w:b/>
          <w:b/>
          <w:sz w:val="18"/>
          <w:szCs w:val="18"/>
        </w:rPr>
      </w:pPr>
      <w:r>
        <w:rPr>
          <w:rFonts w:eastAsia="Verdana" w:cs="Verdana" w:ascii="Verdana" w:hAnsi="Verdana"/>
          <w:b/>
          <w:sz w:val="18"/>
          <w:szCs w:val="18"/>
        </w:rPr>
      </w:r>
    </w:p>
    <w:p>
      <w:pPr>
        <w:pStyle w:val="Normal"/>
        <w:pBdr/>
        <w:tabs>
          <w:tab w:val="clear" w:pos="720"/>
          <w:tab w:val="left" w:pos="709" w:leader="none"/>
        </w:tabs>
        <w:jc w:val="center"/>
        <w:rPr>
          <w:rFonts w:ascii="Verdana" w:hAnsi="Verdana" w:eastAsia="Verdana" w:cs="Verdana"/>
          <w:b/>
          <w:b/>
          <w:sz w:val="18"/>
          <w:szCs w:val="18"/>
        </w:rPr>
      </w:pPr>
      <w:r>
        <w:rPr>
          <w:rFonts w:eastAsia="Verdana" w:cs="Verdana" w:ascii="Verdana" w:hAnsi="Verdana"/>
          <w:b/>
          <w:sz w:val="18"/>
          <w:szCs w:val="18"/>
        </w:rPr>
        <w:t>ATA DE REGISTRO DE PREÇOS Nº ARP___/2023</w:t>
      </w:r>
    </w:p>
    <w:p>
      <w:pPr>
        <w:pStyle w:val="Normal"/>
        <w:pBdr/>
        <w:tabs>
          <w:tab w:val="clear" w:pos="720"/>
          <w:tab w:val="left" w:pos="709" w:leader="none"/>
        </w:tabs>
        <w:jc w:val="center"/>
        <w:rPr>
          <w:rFonts w:ascii="Verdana" w:hAnsi="Verdana" w:eastAsia="Verdana" w:cs="Verdana"/>
          <w:b/>
          <w:b/>
          <w:sz w:val="18"/>
          <w:szCs w:val="18"/>
        </w:rPr>
      </w:pPr>
      <w:r>
        <w:rPr>
          <w:rFonts w:eastAsia="Verdana" w:cs="Verdana" w:ascii="Verdana" w:hAnsi="Verdana"/>
          <w:b/>
          <w:sz w:val="18"/>
          <w:szCs w:val="18"/>
        </w:rPr>
        <w:t>PREGÃO ELETRÔNICO Nº PE</w:t>
      </w:r>
      <w:r>
        <w:rPr>
          <w:rFonts w:eastAsia="Verdana" w:cs="Verdana" w:ascii="Verdana" w:hAnsi="Verdana"/>
          <w:b/>
          <w:sz w:val="18"/>
          <w:szCs w:val="18"/>
        </w:rPr>
        <w:t>095</w:t>
      </w:r>
      <w:r>
        <w:rPr>
          <w:rFonts w:eastAsia="Verdana" w:cs="Verdana" w:ascii="Verdana" w:hAnsi="Verdana"/>
          <w:b/>
          <w:sz w:val="18"/>
          <w:szCs w:val="18"/>
        </w:rPr>
        <w:t>/2023</w:t>
      </w:r>
    </w:p>
    <w:p>
      <w:pPr>
        <w:pStyle w:val="Normal"/>
        <w:pBdr/>
        <w:tabs>
          <w:tab w:val="clear" w:pos="720"/>
          <w:tab w:val="left" w:pos="709" w:leader="none"/>
        </w:tabs>
        <w:jc w:val="center"/>
        <w:rPr>
          <w:rFonts w:ascii="Verdana" w:hAnsi="Verdana" w:eastAsia="Verdana" w:cs="Verdana"/>
          <w:b/>
          <w:b/>
          <w:sz w:val="18"/>
          <w:szCs w:val="18"/>
        </w:rPr>
      </w:pPr>
      <w:r>
        <w:rPr>
          <w:rFonts w:eastAsia="Verdana" w:cs="Verdana" w:ascii="Verdana" w:hAnsi="Verdana"/>
          <w:b/>
          <w:sz w:val="18"/>
          <w:szCs w:val="18"/>
        </w:rPr>
        <w:t>PROCESSO ADMINISTRATIVO SEI Nº 7003860-85.2023.8.08.0000</w:t>
      </w:r>
    </w:p>
    <w:p>
      <w:pPr>
        <w:pStyle w:val="Normal"/>
        <w:pBdr/>
        <w:tabs>
          <w:tab w:val="clear" w:pos="720"/>
          <w:tab w:val="left" w:pos="709" w:leader="none"/>
        </w:tabs>
        <w:jc w:val="center"/>
        <w:rPr>
          <w:rFonts w:ascii="Verdana" w:hAnsi="Verdana" w:eastAsia="Verdana" w:cs="Verdana"/>
          <w:sz w:val="18"/>
          <w:szCs w:val="18"/>
        </w:rPr>
      </w:pPr>
      <w:r>
        <w:rPr>
          <w:rFonts w:eastAsia="Verdana" w:cs="Verdana" w:ascii="Verdana" w:hAnsi="Verdana"/>
          <w:b/>
          <w:sz w:val="18"/>
          <w:szCs w:val="18"/>
        </w:rPr>
        <w:t>CIC-TCEES Nº 2023.500J1200001.02.0048</w:t>
      </w:r>
    </w:p>
    <w:p>
      <w:pPr>
        <w:pStyle w:val="Normal"/>
        <w:jc w:val="center"/>
        <w:rPr>
          <w:rFonts w:ascii="Verdana" w:hAnsi="Verdana" w:eastAsia="Verdana" w:cs="Verdana"/>
          <w:sz w:val="18"/>
          <w:szCs w:val="18"/>
        </w:rPr>
      </w:pPr>
      <w:r>
        <w:rPr>
          <w:rFonts w:eastAsia="Verdana" w:cs="Verdana" w:ascii="Verdana" w:hAnsi="Verdana"/>
          <w:sz w:val="18"/>
          <w:szCs w:val="18"/>
        </w:rPr>
      </w:r>
    </w:p>
    <w:p>
      <w:pPr>
        <w:pStyle w:val="Normal"/>
        <w:jc w:val="both"/>
        <w:rPr>
          <w:rFonts w:ascii="Verdana" w:hAnsi="Verdana" w:eastAsia="Verdana" w:cs="Verdana"/>
          <w:sz w:val="18"/>
          <w:szCs w:val="18"/>
        </w:rPr>
      </w:pPr>
      <w:r>
        <w:rPr>
          <w:rFonts w:eastAsia="Verdana" w:cs="Verdana" w:ascii="Verdana" w:hAnsi="Verdana"/>
          <w:sz w:val="18"/>
          <w:szCs w:val="18"/>
        </w:rPr>
        <w:t xml:space="preserve">O </w:t>
      </w:r>
      <w:r>
        <w:rPr>
          <w:rFonts w:eastAsia="Verdana" w:cs="Verdana" w:ascii="Verdana" w:hAnsi="Verdana"/>
          <w:b/>
          <w:sz w:val="18"/>
          <w:szCs w:val="18"/>
        </w:rPr>
        <w:t>ESTADO DO ESPÍRITO SANTO</w:t>
      </w:r>
      <w:r>
        <w:rPr>
          <w:rFonts w:eastAsia="Verdana" w:cs="Verdana" w:ascii="Verdana" w:hAnsi="Verdana"/>
          <w:sz w:val="18"/>
          <w:szCs w:val="18"/>
        </w:rPr>
        <w:t xml:space="preserve">, por intermédio do </w:t>
      </w:r>
      <w:r>
        <w:rPr>
          <w:rFonts w:eastAsia="Verdana" w:cs="Verdana" w:ascii="Verdana" w:hAnsi="Verdana"/>
          <w:b/>
          <w:sz w:val="18"/>
          <w:szCs w:val="18"/>
        </w:rPr>
        <w:t>PODER JUDICIÁRIO DO ESPÍRITO SANTO (PJES)</w:t>
      </w:r>
      <w:r>
        <w:rPr>
          <w:rFonts w:eastAsia="Verdana" w:cs="Verdana" w:ascii="Verdana" w:hAnsi="Verdana"/>
          <w:sz w:val="18"/>
          <w:szCs w:val="18"/>
        </w:rPr>
        <w:t xml:space="preserve">, com sede na Rua Des. Homero Mafra, 60, Enseada do Suá, Vitória/ ES, inscrito no CNPJ/MF nº 27.476.100/0001-45, neste ato, representado por seu Secretário Geral, </w:t>
      </w:r>
      <w:r>
        <w:rPr>
          <w:rFonts w:eastAsia="Verdana" w:cs="Verdana" w:ascii="Verdana" w:hAnsi="Verdana"/>
          <w:b/>
          <w:sz w:val="18"/>
          <w:szCs w:val="18"/>
        </w:rPr>
        <w:t>MARCELO TAVARES DE ALBUQUERQUE</w:t>
      </w:r>
      <w:r>
        <w:rPr>
          <w:rFonts w:eastAsia="Verdana" w:cs="Verdana" w:ascii="Verdana" w:hAnsi="Verdana"/>
          <w:sz w:val="18"/>
          <w:szCs w:val="18"/>
        </w:rPr>
        <w:t xml:space="preserve">, Matrícula Funcional nº ____________, na forma da Emenda Regimental nº 004/2015, publicada no Diário da Justiça do dia 09 de dezembro de 2015, do Presidente do E. Tribunal de Justiça do Estado do Espírito Santo, nos termos da Lei 14.133/2021 e das demais normas legais aplicáveis, em face da classificação das propostas apresentadas no Pregão Eletrônico para Registro de Preços em epígrafe, considerando o julgamento da licitação homologada pelo Secretário Geral do PJES, e disponibilizada no Diário da Justiça do dia __/__/2023, RESOLVE </w:t>
      </w:r>
      <w:r>
        <w:rPr>
          <w:rFonts w:eastAsia="Verdana" w:cs="Verdana" w:ascii="Verdana" w:hAnsi="Verdana"/>
          <w:b/>
          <w:sz w:val="18"/>
          <w:szCs w:val="18"/>
        </w:rPr>
        <w:t xml:space="preserve">registrar os preços para o eventual fornecimento e instalação </w:t>
      </w:r>
      <w:r>
        <w:rPr>
          <w:rFonts w:eastAsia="Verdana" w:cs="Verdana" w:ascii="Verdana" w:hAnsi="Verdana"/>
          <w:b/>
          <w:bCs/>
          <w:sz w:val="18"/>
          <w:szCs w:val="18"/>
        </w:rPr>
        <w:t>de persianas e películas nas unidades do Poder Judiciário do Estado do Espírito Santo</w:t>
      </w:r>
      <w:r>
        <w:rPr>
          <w:rFonts w:eastAsia="Verdana" w:cs="Verdana" w:ascii="Verdana" w:hAnsi="Verdana"/>
          <w:sz w:val="18"/>
          <w:szCs w:val="18"/>
        </w:rPr>
        <w:t>, conforme especificações constantes do Edital e seus anexos, mediante as condições seguintes:</w:t>
      </w:r>
    </w:p>
    <w:p>
      <w:pPr>
        <w:pStyle w:val="Normal"/>
        <w:jc w:val="both"/>
        <w:rPr>
          <w:rFonts w:ascii="Verdana" w:hAnsi="Verdana" w:eastAsia="Verdana" w:cs="Verdana"/>
          <w:sz w:val="18"/>
          <w:szCs w:val="18"/>
        </w:rPr>
      </w:pPr>
      <w:r>
        <w:rPr>
          <w:rFonts w:eastAsia="Verdana" w:cs="Verdana" w:ascii="Verdana" w:hAnsi="Verdana"/>
          <w:sz w:val="18"/>
          <w:szCs w:val="18"/>
        </w:rPr>
      </w:r>
    </w:p>
    <w:p>
      <w:pPr>
        <w:pStyle w:val="Normal"/>
        <w:pBdr/>
        <w:shd w:val="clear" w:color="auto" w:fill="C0C0C0"/>
        <w:jc w:val="both"/>
        <w:rPr>
          <w:rFonts w:ascii="Verdana" w:hAnsi="Verdana" w:eastAsia="Verdana" w:cs="Verdana"/>
          <w:b/>
          <w:b/>
          <w:sz w:val="18"/>
          <w:szCs w:val="18"/>
        </w:rPr>
      </w:pPr>
      <w:r>
        <w:rPr>
          <w:rFonts w:eastAsia="Verdana" w:cs="Verdana" w:ascii="Verdana" w:hAnsi="Verdana"/>
          <w:b/>
          <w:sz w:val="18"/>
          <w:szCs w:val="18"/>
        </w:rPr>
        <w:t>1 - DA DETENTORA DA ATA REGISTRADA</w:t>
      </w:r>
    </w:p>
    <w:p>
      <w:pPr>
        <w:pStyle w:val="Normal"/>
        <w:pBdr/>
        <w:tabs>
          <w:tab w:val="clear" w:pos="720"/>
          <w:tab w:val="left" w:pos="1620" w:leader="none"/>
        </w:tabs>
        <w:jc w:val="both"/>
        <w:rPr>
          <w:rFonts w:ascii="Verdana" w:hAnsi="Verdana" w:eastAsia="Verdana" w:cs="Verdana"/>
          <w:b/>
          <w:b/>
          <w:sz w:val="18"/>
          <w:szCs w:val="18"/>
        </w:rPr>
      </w:pPr>
      <w:r>
        <w:rPr>
          <w:rFonts w:eastAsia="Verdana" w:cs="Verdana" w:ascii="Verdana" w:hAnsi="Verdana"/>
          <w:b/>
          <w:sz w:val="18"/>
          <w:szCs w:val="18"/>
        </w:rPr>
      </w:r>
    </w:p>
    <w:p>
      <w:pPr>
        <w:pStyle w:val="Normal"/>
        <w:pBdr/>
        <w:tabs>
          <w:tab w:val="clear" w:pos="720"/>
          <w:tab w:val="left" w:pos="1134" w:leader="none"/>
          <w:tab w:val="left" w:pos="1620" w:leader="none"/>
        </w:tabs>
        <w:jc w:val="both"/>
        <w:rPr>
          <w:rFonts w:ascii="Verdana" w:hAnsi="Verdana" w:eastAsia="Verdana" w:cs="Verdana"/>
          <w:sz w:val="18"/>
          <w:szCs w:val="18"/>
        </w:rPr>
      </w:pPr>
      <w:r>
        <w:rPr>
          <w:rFonts w:eastAsia="Verdana" w:cs="Verdana" w:ascii="Verdana" w:hAnsi="Verdana"/>
          <w:b/>
          <w:sz w:val="18"/>
          <w:szCs w:val="18"/>
        </w:rPr>
        <w:t>1.1</w:t>
      </w:r>
      <w:r>
        <w:rPr>
          <w:rFonts w:eastAsia="Verdana" w:cs="Verdana" w:ascii="Verdana" w:hAnsi="Verdana"/>
          <w:sz w:val="18"/>
          <w:szCs w:val="18"/>
        </w:rPr>
        <w:t xml:space="preserve"> - A partir desta data, ficam registrados neste Poder os preços do fornecedor a seguir relacionado:</w:t>
      </w:r>
    </w:p>
    <w:p>
      <w:pPr>
        <w:pStyle w:val="Normal"/>
        <w:pBdr/>
        <w:tabs>
          <w:tab w:val="clear" w:pos="720"/>
          <w:tab w:val="left" w:pos="1134" w:leader="none"/>
          <w:tab w:val="left" w:pos="1620" w:leader="none"/>
        </w:tabs>
        <w:jc w:val="both"/>
        <w:rPr>
          <w:rFonts w:ascii="Verdana" w:hAnsi="Verdana" w:eastAsia="Verdana" w:cs="Verdana"/>
          <w:sz w:val="18"/>
          <w:szCs w:val="18"/>
        </w:rPr>
      </w:pPr>
      <w:r>
        <w:rPr>
          <w:rFonts w:eastAsia="Verdana" w:cs="Verdana" w:ascii="Verdana" w:hAnsi="Verdana"/>
          <w:sz w:val="18"/>
          <w:szCs w:val="18"/>
        </w:rPr>
      </w:r>
    </w:p>
    <w:p>
      <w:pPr>
        <w:pStyle w:val="Normal"/>
        <w:tabs>
          <w:tab w:val="clear" w:pos="720"/>
          <w:tab w:val="left" w:pos="1134" w:leader="none"/>
        </w:tabs>
        <w:jc w:val="both"/>
        <w:rPr>
          <w:rFonts w:ascii="Verdana" w:hAnsi="Verdana" w:eastAsia="Verdana" w:cs="Verdana"/>
          <w:sz w:val="18"/>
          <w:szCs w:val="18"/>
        </w:rPr>
      </w:pPr>
      <w:r>
        <w:rPr>
          <w:rFonts w:eastAsia="Verdana" w:cs="Verdana" w:ascii="Verdana" w:hAnsi="Verdana"/>
          <w:b/>
          <w:sz w:val="18"/>
          <w:szCs w:val="18"/>
        </w:rPr>
        <w:t>Detentora da Ata:</w:t>
      </w:r>
      <w:r>
        <w:rPr>
          <w:rFonts w:eastAsia="Verdana" w:cs="Verdana" w:ascii="Verdana" w:hAnsi="Verdana"/>
          <w:sz w:val="18"/>
          <w:szCs w:val="18"/>
        </w:rPr>
        <w:t xml:space="preserve"> __________________, CNPJ nº ______, com sede no ____________________, CEP _____, telefone nº () _____, e-mail: _______, representada por seu sócio- _________, Sr. _____________ (nome e função, RG e CPF do Contratado).</w:t>
      </w:r>
    </w:p>
    <w:p>
      <w:pPr>
        <w:pStyle w:val="Normal"/>
        <w:pBdr/>
        <w:tabs>
          <w:tab w:val="clear" w:pos="720"/>
          <w:tab w:val="left" w:pos="1134" w:leader="none"/>
        </w:tabs>
        <w:jc w:val="both"/>
        <w:rPr>
          <w:rFonts w:ascii="Verdana" w:hAnsi="Verdana" w:eastAsia="Verdana" w:cs="Verdana"/>
          <w:sz w:val="18"/>
          <w:szCs w:val="18"/>
        </w:rPr>
      </w:pPr>
      <w:r>
        <w:rPr>
          <w:rFonts w:eastAsia="Verdana" w:cs="Verdana" w:ascii="Verdana" w:hAnsi="Verdana"/>
          <w:sz w:val="18"/>
          <w:szCs w:val="18"/>
        </w:rPr>
      </w:r>
    </w:p>
    <w:p>
      <w:pPr>
        <w:pStyle w:val="Normal"/>
        <w:jc w:val="both"/>
        <w:rPr>
          <w:rFonts w:ascii="Verdana" w:hAnsi="Verdana" w:eastAsia="Verdana" w:cs="Verdana"/>
          <w:sz w:val="18"/>
          <w:szCs w:val="18"/>
        </w:rPr>
      </w:pPr>
      <w:r>
        <w:rPr>
          <w:rFonts w:eastAsia="Verdana" w:cs="Verdana" w:ascii="Verdana" w:hAnsi="Verdana"/>
          <w:sz w:val="18"/>
          <w:szCs w:val="18"/>
        </w:rPr>
      </w:r>
    </w:p>
    <w:p>
      <w:pPr>
        <w:pStyle w:val="Normal"/>
        <w:pBdr/>
        <w:shd w:val="clear" w:color="auto" w:fill="C0C0C0"/>
        <w:jc w:val="both"/>
        <w:rPr>
          <w:rFonts w:ascii="Verdana" w:hAnsi="Verdana" w:eastAsia="Verdana" w:cs="Verdana"/>
          <w:b/>
          <w:b/>
          <w:sz w:val="18"/>
          <w:szCs w:val="18"/>
        </w:rPr>
      </w:pPr>
      <w:r>
        <w:rPr>
          <w:rFonts w:eastAsia="Verdana" w:cs="Verdana" w:ascii="Verdana" w:hAnsi="Verdana"/>
          <w:b/>
          <w:sz w:val="18"/>
          <w:szCs w:val="18"/>
        </w:rPr>
        <w:t>2 - DO MATERIAL E DO PREÇO</w:t>
      </w:r>
    </w:p>
    <w:p>
      <w:pPr>
        <w:pStyle w:val="Normal"/>
        <w:jc w:val="both"/>
        <w:rPr>
          <w:rFonts w:ascii="Verdana" w:hAnsi="Verdana" w:eastAsia="Verdana" w:cs="Verdana"/>
          <w:sz w:val="18"/>
          <w:szCs w:val="18"/>
        </w:rPr>
      </w:pPr>
      <w:r>
        <w:rPr>
          <w:rFonts w:eastAsia="Verdana" w:cs="Verdana" w:ascii="Verdana" w:hAnsi="Verdana"/>
          <w:sz w:val="18"/>
          <w:szCs w:val="18"/>
        </w:rPr>
      </w:r>
    </w:p>
    <w:p>
      <w:pPr>
        <w:pStyle w:val="Normal"/>
        <w:jc w:val="both"/>
        <w:rPr>
          <w:rFonts w:ascii="Verdana" w:hAnsi="Verdana" w:eastAsia="Verdana" w:cs="Verdana"/>
          <w:sz w:val="18"/>
          <w:szCs w:val="18"/>
        </w:rPr>
      </w:pPr>
      <w:r>
        <w:rPr>
          <w:rFonts w:eastAsia="Verdana" w:cs="Verdana" w:ascii="Verdana" w:hAnsi="Verdana"/>
          <w:b/>
          <w:sz w:val="18"/>
          <w:szCs w:val="18"/>
        </w:rPr>
        <w:t>2.1</w:t>
      </w:r>
      <w:r>
        <w:rPr>
          <w:rFonts w:eastAsia="Verdana" w:cs="Verdana" w:ascii="Verdana" w:hAnsi="Verdana"/>
          <w:sz w:val="18"/>
          <w:szCs w:val="18"/>
        </w:rPr>
        <w:t xml:space="preserve"> - As partes resolvem registrar preço do seguinte item abaixo especificado: (A ser preenchido com a descrição completa dos itens, quantitativos mínimo e máximo, e valores unitários dos itens da empresa vencedora)</w:t>
      </w:r>
    </w:p>
    <w:p>
      <w:pPr>
        <w:pStyle w:val="Normal"/>
        <w:jc w:val="both"/>
        <w:rPr>
          <w:rFonts w:ascii="Verdana" w:hAnsi="Verdana" w:eastAsia="Verdana" w:cs="Verdana"/>
          <w:sz w:val="18"/>
          <w:szCs w:val="18"/>
        </w:rPr>
      </w:pPr>
      <w:r>
        <w:rPr>
          <w:rFonts w:eastAsia="Verdana" w:cs="Verdana" w:ascii="Verdana" w:hAnsi="Verdana"/>
          <w:sz w:val="18"/>
          <w:szCs w:val="18"/>
        </w:rPr>
      </w:r>
    </w:p>
    <w:p>
      <w:pPr>
        <w:pStyle w:val="Normal"/>
        <w:jc w:val="both"/>
        <w:rPr>
          <w:rFonts w:ascii="Arial" w:hAnsi="Arial" w:eastAsia="Arial" w:cs="Arial"/>
          <w:sz w:val="23"/>
          <w:szCs w:val="23"/>
        </w:rPr>
      </w:pPr>
      <w:r>
        <w:rPr>
          <w:rFonts w:eastAsia="Verdana" w:cs="Verdana" w:ascii="Verdana" w:hAnsi="Verdana"/>
          <w:b/>
          <w:sz w:val="18"/>
          <w:szCs w:val="18"/>
        </w:rPr>
        <w:t>2.2 -</w:t>
      </w:r>
      <w:r>
        <w:rPr>
          <w:rFonts w:eastAsia="Verdana" w:cs="Verdana" w:ascii="Verdana" w:hAnsi="Verdana"/>
          <w:sz w:val="18"/>
          <w:szCs w:val="18"/>
        </w:rPr>
        <w:t> Qualquer interessado poderá verificar a eventual existência de Ata de Formação de Cadastro de Reserva por meio do endereço &lt;</w:t>
      </w:r>
      <w:hyperlink r:id="rId13">
        <w:r>
          <w:rPr>
            <w:rFonts w:eastAsia="Verdana" w:cs="Verdana" w:ascii="Verdana" w:hAnsi="Verdana"/>
            <w:sz w:val="18"/>
            <w:szCs w:val="18"/>
            <w:u w:val="single"/>
          </w:rPr>
          <w:t>http://comprasnet.gov.br/livre/pregao/ata0.asp</w:t>
        </w:r>
      </w:hyperlink>
      <w:r>
        <w:rPr>
          <w:rFonts w:eastAsia="Verdana" w:cs="Verdana" w:ascii="Verdana" w:hAnsi="Verdana"/>
          <w:sz w:val="18"/>
          <w:szCs w:val="18"/>
        </w:rPr>
        <w:t>&gt;, informando o código UASG do Poder Judiciário do Estado do Espírito Santo (925968), o número e ano do pregão</w:t>
      </w:r>
      <w:r>
        <w:rPr>
          <w:rFonts w:eastAsia="Arial" w:cs="Arial" w:ascii="Arial" w:hAnsi="Arial"/>
          <w:sz w:val="23"/>
          <w:szCs w:val="23"/>
        </w:rPr>
        <w:t>.</w:t>
      </w:r>
    </w:p>
    <w:p>
      <w:pPr>
        <w:pStyle w:val="Normal"/>
        <w:jc w:val="both"/>
        <w:rPr>
          <w:rFonts w:ascii="Arial" w:hAnsi="Arial" w:eastAsia="Arial" w:cs="Arial"/>
          <w:sz w:val="23"/>
          <w:szCs w:val="23"/>
        </w:rPr>
      </w:pPr>
      <w:r>
        <w:rPr>
          <w:rFonts w:eastAsia="Arial" w:cs="Arial" w:ascii="Arial" w:hAnsi="Arial"/>
          <w:sz w:val="23"/>
          <w:szCs w:val="23"/>
        </w:rPr>
      </w:r>
    </w:p>
    <w:p>
      <w:pPr>
        <w:pStyle w:val="Normal"/>
        <w:shd w:val="clear" w:color="auto" w:fill="C0C0C0"/>
        <w:jc w:val="both"/>
        <w:rPr>
          <w:rFonts w:ascii="Verdana" w:hAnsi="Verdana" w:eastAsia="Verdana" w:cs="Verdana"/>
          <w:b/>
          <w:b/>
          <w:sz w:val="18"/>
          <w:szCs w:val="18"/>
        </w:rPr>
      </w:pPr>
      <w:r>
        <w:rPr>
          <w:rFonts w:eastAsia="Verdana" w:cs="Verdana" w:ascii="Verdana" w:hAnsi="Verdana"/>
          <w:b/>
          <w:sz w:val="18"/>
          <w:szCs w:val="18"/>
        </w:rPr>
        <w:t xml:space="preserve">3 - DA VIGÊNCIA DA ATA </w:t>
      </w:r>
    </w:p>
    <w:p>
      <w:pPr>
        <w:pStyle w:val="Normal"/>
        <w:jc w:val="both"/>
        <w:rPr>
          <w:rFonts w:ascii="Verdana" w:hAnsi="Verdana" w:eastAsia="Verdana" w:cs="Verdana"/>
          <w:b/>
          <w:b/>
          <w:sz w:val="18"/>
          <w:szCs w:val="18"/>
        </w:rPr>
      </w:pPr>
      <w:r>
        <w:rPr>
          <w:rFonts w:eastAsia="Verdana" w:cs="Verdana" w:ascii="Verdana" w:hAnsi="Verdana"/>
          <w:b/>
          <w:sz w:val="18"/>
          <w:szCs w:val="18"/>
        </w:rPr>
      </w:r>
    </w:p>
    <w:p>
      <w:pPr>
        <w:pStyle w:val="Normal"/>
        <w:jc w:val="both"/>
        <w:rPr>
          <w:rFonts w:ascii="Verdana" w:hAnsi="Verdana" w:eastAsia="Verdana" w:cs="Verdana"/>
          <w:sz w:val="18"/>
          <w:szCs w:val="18"/>
        </w:rPr>
      </w:pPr>
      <w:r>
        <w:rPr>
          <w:rFonts w:eastAsia="Verdana" w:cs="Verdana" w:ascii="Verdana" w:hAnsi="Verdana"/>
          <w:b/>
          <w:sz w:val="18"/>
          <w:szCs w:val="18"/>
        </w:rPr>
        <w:t>3.1 -</w:t>
      </w:r>
      <w:r>
        <w:rPr>
          <w:rFonts w:eastAsia="Verdana" w:cs="Verdana" w:ascii="Verdana" w:hAnsi="Verdana"/>
          <w:sz w:val="18"/>
          <w:szCs w:val="18"/>
        </w:rPr>
        <w:t xml:space="preserve"> O prazo de vigência da ata de registro de preços será de </w:t>
      </w:r>
      <w:r>
        <w:rPr>
          <w:rFonts w:eastAsia="Verdana" w:cs="Verdana" w:ascii="Verdana" w:hAnsi="Verdana"/>
          <w:b/>
          <w:bCs/>
          <w:sz w:val="18"/>
          <w:szCs w:val="18"/>
        </w:rPr>
        <w:t>1 (um) ano</w:t>
      </w:r>
      <w:r>
        <w:rPr>
          <w:rFonts w:eastAsia="Verdana" w:cs="Verdana" w:ascii="Verdana" w:hAnsi="Verdana"/>
          <w:sz w:val="18"/>
          <w:szCs w:val="18"/>
        </w:rPr>
        <w:t>, contado da data da última assinatura, podendo ser prorrogada, por igual período, desde que comprovado o preço vantajoso.</w:t>
      </w:r>
    </w:p>
    <w:p>
      <w:pPr>
        <w:pStyle w:val="Normal"/>
        <w:jc w:val="both"/>
        <w:rPr>
          <w:rFonts w:ascii="Verdana" w:hAnsi="Verdana" w:eastAsia="Verdana" w:cs="Verdana"/>
          <w:sz w:val="18"/>
          <w:szCs w:val="18"/>
        </w:rPr>
      </w:pPr>
      <w:r>
        <w:rPr>
          <w:rFonts w:eastAsia="Verdana" w:cs="Verdana" w:ascii="Verdana" w:hAnsi="Verdana"/>
          <w:sz w:val="18"/>
          <w:szCs w:val="18"/>
        </w:rPr>
      </w:r>
    </w:p>
    <w:p>
      <w:pPr>
        <w:pStyle w:val="Normal"/>
        <w:jc w:val="both"/>
        <w:rPr>
          <w:rFonts w:ascii="Verdana" w:hAnsi="Verdana" w:eastAsia="Verdana" w:cs="Verdana"/>
          <w:sz w:val="18"/>
          <w:szCs w:val="18"/>
        </w:rPr>
      </w:pPr>
      <w:r>
        <w:rPr>
          <w:rFonts w:eastAsia="Verdana" w:cs="Verdana" w:ascii="Verdana" w:hAnsi="Verdana"/>
          <w:b/>
          <w:sz w:val="18"/>
          <w:szCs w:val="18"/>
        </w:rPr>
        <w:t>3.1.1 -</w:t>
      </w:r>
      <w:r>
        <w:rPr>
          <w:rFonts w:eastAsia="Verdana" w:cs="Verdana" w:ascii="Verdana" w:hAnsi="Verdana"/>
          <w:sz w:val="18"/>
          <w:szCs w:val="18"/>
        </w:rPr>
        <w:t xml:space="preserve"> No caso de prorrogação do prazo de vigência da ARP, apenas os quantitativos remanescentes não utilizados serão considerados para o novo período de vigência.</w:t>
      </w:r>
    </w:p>
    <w:p>
      <w:pPr>
        <w:pStyle w:val="Normal"/>
        <w:jc w:val="both"/>
        <w:rPr>
          <w:rFonts w:ascii="Verdana" w:hAnsi="Verdana" w:eastAsia="Verdana" w:cs="Verdana"/>
          <w:sz w:val="18"/>
          <w:szCs w:val="18"/>
        </w:rPr>
      </w:pPr>
      <w:r>
        <w:rPr>
          <w:rFonts w:eastAsia="Verdana" w:cs="Verdana" w:ascii="Verdana" w:hAnsi="Verdana"/>
          <w:sz w:val="18"/>
          <w:szCs w:val="18"/>
        </w:rPr>
      </w:r>
    </w:p>
    <w:p>
      <w:pPr>
        <w:pStyle w:val="Normal"/>
        <w:jc w:val="both"/>
        <w:rPr>
          <w:rFonts w:ascii="Verdana" w:hAnsi="Verdana" w:eastAsia="Verdana" w:cs="Verdana"/>
          <w:sz w:val="18"/>
          <w:szCs w:val="18"/>
        </w:rPr>
      </w:pPr>
      <w:r>
        <w:rPr>
          <w:rFonts w:eastAsia="Verdana" w:cs="Verdana" w:ascii="Verdana" w:hAnsi="Verdana"/>
          <w:b/>
          <w:sz w:val="18"/>
          <w:szCs w:val="18"/>
        </w:rPr>
        <w:t>3.2 -</w:t>
      </w:r>
      <w:r>
        <w:rPr>
          <w:rFonts w:eastAsia="Verdana" w:cs="Verdana" w:ascii="Verdana" w:hAnsi="Verdana"/>
          <w:sz w:val="18"/>
          <w:szCs w:val="18"/>
        </w:rPr>
        <w:t xml:space="preserve"> A existência de preços registrados implicará compromisso de fornecimento nas condições estabelecidas, mas não obrigará a Administração a contratar, facultada a realização de licitação específica para a aquisição pretendida, desde que devidamente motivada.</w:t>
      </w:r>
    </w:p>
    <w:p>
      <w:pPr>
        <w:pStyle w:val="Normal"/>
        <w:jc w:val="both"/>
        <w:rPr>
          <w:rFonts w:ascii="Verdana" w:hAnsi="Verdana" w:eastAsia="Verdana" w:cs="Verdana"/>
          <w:b/>
          <w:b/>
          <w:sz w:val="18"/>
          <w:szCs w:val="18"/>
        </w:rPr>
      </w:pPr>
      <w:r>
        <w:rPr>
          <w:rFonts w:eastAsia="Verdana" w:cs="Verdana" w:ascii="Verdana" w:hAnsi="Verdana"/>
          <w:b/>
          <w:sz w:val="18"/>
          <w:szCs w:val="18"/>
        </w:rPr>
      </w:r>
    </w:p>
    <w:p>
      <w:pPr>
        <w:pStyle w:val="Normal"/>
        <w:shd w:val="clear" w:color="auto" w:fill="C0C0C0"/>
        <w:jc w:val="both"/>
        <w:rPr>
          <w:rFonts w:ascii="Verdana" w:hAnsi="Verdana" w:eastAsia="Verdana" w:cs="Verdana"/>
          <w:b/>
          <w:b/>
          <w:sz w:val="18"/>
          <w:szCs w:val="18"/>
        </w:rPr>
      </w:pPr>
      <w:r>
        <w:rPr>
          <w:rFonts w:eastAsia="Verdana" w:cs="Verdana" w:ascii="Verdana" w:hAnsi="Verdana"/>
          <w:b/>
          <w:sz w:val="18"/>
          <w:szCs w:val="18"/>
        </w:rPr>
        <w:t>4 - DO REAJUSTE</w:t>
      </w:r>
    </w:p>
    <w:p>
      <w:pPr>
        <w:pStyle w:val="Normal"/>
        <w:jc w:val="both"/>
        <w:rPr>
          <w:rFonts w:ascii="Verdana" w:hAnsi="Verdana" w:eastAsia="Verdana" w:cs="Verdana"/>
          <w:b/>
          <w:b/>
          <w:sz w:val="18"/>
          <w:szCs w:val="18"/>
        </w:rPr>
      </w:pPr>
      <w:r>
        <w:rPr>
          <w:rFonts w:eastAsia="Verdana" w:cs="Verdana" w:ascii="Verdana" w:hAnsi="Verdana"/>
          <w:b/>
          <w:sz w:val="18"/>
          <w:szCs w:val="18"/>
        </w:rPr>
      </w:r>
    </w:p>
    <w:p>
      <w:pPr>
        <w:pStyle w:val="Normal"/>
        <w:jc w:val="both"/>
        <w:rPr>
          <w:rFonts w:ascii="Verdana" w:hAnsi="Verdana" w:eastAsia="Verdana" w:cs="Verdana"/>
          <w:sz w:val="18"/>
          <w:szCs w:val="18"/>
        </w:rPr>
      </w:pPr>
      <w:r>
        <w:rPr>
          <w:rFonts w:eastAsia="Verdana" w:cs="Verdana" w:ascii="Verdana" w:hAnsi="Verdana"/>
          <w:b/>
          <w:sz w:val="18"/>
          <w:szCs w:val="18"/>
        </w:rPr>
        <w:t>4.1 -</w:t>
      </w:r>
      <w:r>
        <w:rPr>
          <w:rFonts w:eastAsia="Verdana" w:cs="Verdana" w:ascii="Verdana" w:hAnsi="Verdana"/>
          <w:sz w:val="18"/>
          <w:szCs w:val="18"/>
        </w:rPr>
        <w:t xml:space="preserve"> Os preços inicialmente contratados são fixos e irreajustáveis no prazo de um ano contado da data do orçamento estimado, em </w:t>
      </w:r>
      <w:r>
        <w:rPr>
          <w:rFonts w:eastAsia="Verdana" w:cs="Verdana" w:ascii="Verdana" w:hAnsi="Verdana"/>
          <w:b/>
          <w:sz w:val="18"/>
          <w:szCs w:val="18"/>
          <w:u w:val="single"/>
        </w:rPr>
        <w:t>29/09/2023</w:t>
      </w:r>
      <w:r>
        <w:rPr>
          <w:rFonts w:eastAsia="Verdana" w:cs="Verdana" w:ascii="Verdana" w:hAnsi="Verdana"/>
          <w:sz w:val="18"/>
          <w:szCs w:val="18"/>
        </w:rPr>
        <w:t>.</w:t>
      </w:r>
    </w:p>
    <w:p>
      <w:pPr>
        <w:pStyle w:val="Normal"/>
        <w:jc w:val="both"/>
        <w:rPr>
          <w:rFonts w:ascii="Verdana" w:hAnsi="Verdana" w:eastAsia="Verdana" w:cs="Verdana"/>
          <w:sz w:val="18"/>
          <w:szCs w:val="18"/>
        </w:rPr>
      </w:pPr>
      <w:r>
        <w:rPr>
          <w:rFonts w:eastAsia="Verdana" w:cs="Verdana" w:ascii="Verdana" w:hAnsi="Verdana"/>
          <w:sz w:val="18"/>
          <w:szCs w:val="18"/>
        </w:rPr>
      </w:r>
    </w:p>
    <w:p>
      <w:pPr>
        <w:pStyle w:val="Normal"/>
        <w:jc w:val="both"/>
        <w:rPr>
          <w:rFonts w:ascii="Verdana" w:hAnsi="Verdana" w:eastAsia="Verdana" w:cs="Verdana"/>
          <w:sz w:val="18"/>
          <w:szCs w:val="18"/>
        </w:rPr>
      </w:pPr>
      <w:r>
        <w:rPr>
          <w:rFonts w:eastAsia="Verdana" w:cs="Verdana" w:ascii="Verdana" w:hAnsi="Verdana"/>
          <w:b/>
          <w:sz w:val="18"/>
          <w:szCs w:val="18"/>
        </w:rPr>
        <w:t xml:space="preserve">4.2 - </w:t>
      </w:r>
      <w:r>
        <w:rPr>
          <w:rFonts w:eastAsia="Verdana" w:cs="Verdana" w:ascii="Verdana" w:hAnsi="Verdana"/>
          <w:sz w:val="18"/>
          <w:szCs w:val="18"/>
        </w:rPr>
        <w:t>Após o interregno de um ano, os preços iniciais serão reajustados, mediante a aplicação, pelo contratante, do Índice IPCA.</w:t>
      </w:r>
    </w:p>
    <w:p>
      <w:pPr>
        <w:pStyle w:val="Normal"/>
        <w:jc w:val="both"/>
        <w:rPr>
          <w:rFonts w:ascii="Verdana" w:hAnsi="Verdana" w:eastAsia="Verdana" w:cs="Verdana"/>
          <w:sz w:val="18"/>
          <w:szCs w:val="18"/>
        </w:rPr>
      </w:pPr>
      <w:r>
        <w:rPr>
          <w:rFonts w:eastAsia="Verdana" w:cs="Verdana" w:ascii="Verdana" w:hAnsi="Verdana"/>
          <w:sz w:val="18"/>
          <w:szCs w:val="18"/>
        </w:rPr>
      </w:r>
    </w:p>
    <w:p>
      <w:pPr>
        <w:pStyle w:val="Normal"/>
        <w:jc w:val="both"/>
        <w:rPr>
          <w:rFonts w:ascii="Verdana" w:hAnsi="Verdana" w:eastAsia="Verdana" w:cs="Verdana"/>
          <w:sz w:val="18"/>
          <w:szCs w:val="18"/>
        </w:rPr>
      </w:pPr>
      <w:r>
        <w:rPr>
          <w:rFonts w:eastAsia="Verdana" w:cs="Verdana" w:ascii="Verdana" w:hAnsi="Verdana"/>
          <w:b/>
          <w:sz w:val="18"/>
          <w:szCs w:val="18"/>
        </w:rPr>
        <w:t>4.3 -</w:t>
      </w:r>
      <w:r>
        <w:rPr>
          <w:rFonts w:eastAsia="Verdana" w:cs="Verdana" w:ascii="Verdana" w:hAnsi="Verdana"/>
          <w:sz w:val="18"/>
          <w:szCs w:val="18"/>
        </w:rPr>
        <w:t xml:space="preserve"> Nos reajustes subsequentes ao primeiro, o interregno mínimo de um ano será contado a partir dos efeitos financeiros do último reajuste.</w:t>
      </w:r>
    </w:p>
    <w:p>
      <w:pPr>
        <w:pStyle w:val="Normal"/>
        <w:jc w:val="both"/>
        <w:rPr>
          <w:rFonts w:ascii="Verdana" w:hAnsi="Verdana" w:eastAsia="Verdana" w:cs="Verdana"/>
          <w:sz w:val="18"/>
          <w:szCs w:val="18"/>
        </w:rPr>
      </w:pPr>
      <w:r>
        <w:rPr>
          <w:rFonts w:eastAsia="Verdana" w:cs="Verdana" w:ascii="Verdana" w:hAnsi="Verdana"/>
          <w:sz w:val="18"/>
          <w:szCs w:val="18"/>
        </w:rPr>
      </w:r>
    </w:p>
    <w:p>
      <w:pPr>
        <w:pStyle w:val="Normal"/>
        <w:spacing w:before="0" w:after="120"/>
        <w:ind w:right="-24" w:hanging="0"/>
        <w:jc w:val="both"/>
        <w:rPr>
          <w:rFonts w:ascii="Verdana" w:hAnsi="Verdana" w:eastAsia="Verdana" w:cs="Verdana"/>
          <w:sz w:val="18"/>
          <w:szCs w:val="18"/>
        </w:rPr>
      </w:pPr>
      <w:r>
        <w:rPr>
          <w:rFonts w:eastAsia="Verdana" w:cs="Verdana" w:ascii="Verdana" w:hAnsi="Verdana"/>
          <w:b/>
          <w:sz w:val="18"/>
          <w:szCs w:val="18"/>
        </w:rPr>
        <w:t>4.4 -</w:t>
      </w:r>
      <w:r>
        <w:rPr>
          <w:rFonts w:eastAsia="Verdana" w:cs="Verdana" w:ascii="Verdana" w:hAnsi="Verdana"/>
          <w:sz w:val="18"/>
          <w:szCs w:val="18"/>
        </w:rPr>
        <w:t xml:space="preserve"> Os preços contratados serão alterados, para mais ou para menos, conforme o caso, se houver, após a data da apresentação da proposta, criação, alteração ou extinção de quaisquer tributos ou encargos legais ou a superveniência de disposições legais, com comprovada repercussão sobre os preços contratados.</w:t>
      </w:r>
    </w:p>
    <w:p>
      <w:pPr>
        <w:pStyle w:val="Normal"/>
        <w:jc w:val="both"/>
        <w:rPr>
          <w:rFonts w:ascii="Verdana" w:hAnsi="Verdana" w:eastAsia="Verdana" w:cs="Verdana"/>
          <w:b/>
          <w:b/>
          <w:sz w:val="18"/>
          <w:szCs w:val="18"/>
        </w:rPr>
      </w:pPr>
      <w:r>
        <w:rPr>
          <w:rFonts w:eastAsia="Verdana" w:cs="Verdana" w:ascii="Verdana" w:hAnsi="Verdana"/>
          <w:b/>
          <w:sz w:val="18"/>
          <w:szCs w:val="18"/>
        </w:rPr>
      </w:r>
    </w:p>
    <w:p>
      <w:pPr>
        <w:pStyle w:val="Normal"/>
        <w:pBdr/>
        <w:shd w:val="clear" w:color="auto" w:fill="C0C0C0"/>
        <w:jc w:val="both"/>
        <w:rPr>
          <w:rFonts w:ascii="Verdana" w:hAnsi="Verdana" w:eastAsia="Verdana" w:cs="Verdana"/>
          <w:b/>
          <w:b/>
          <w:sz w:val="18"/>
          <w:szCs w:val="18"/>
        </w:rPr>
      </w:pPr>
      <w:r>
        <w:rPr>
          <w:rFonts w:eastAsia="Verdana" w:cs="Verdana" w:ascii="Verdana" w:hAnsi="Verdana"/>
          <w:b/>
          <w:sz w:val="18"/>
          <w:szCs w:val="18"/>
        </w:rPr>
        <w:t>5- DAS CONDIÇÕES GERAIS</w:t>
      </w:r>
    </w:p>
    <w:p>
      <w:pPr>
        <w:pStyle w:val="Normal"/>
        <w:pBdr/>
        <w:ind w:right="119" w:hanging="0"/>
        <w:jc w:val="both"/>
        <w:rPr>
          <w:rFonts w:ascii="Verdana" w:hAnsi="Verdana" w:eastAsia="Verdana" w:cs="Verdana"/>
          <w:b/>
          <w:b/>
          <w:sz w:val="18"/>
          <w:szCs w:val="18"/>
        </w:rPr>
      </w:pPr>
      <w:r>
        <w:rPr>
          <w:rFonts w:eastAsia="Verdana" w:cs="Verdana" w:ascii="Verdana" w:hAnsi="Verdana"/>
          <w:b/>
          <w:sz w:val="18"/>
          <w:szCs w:val="18"/>
        </w:rPr>
      </w:r>
    </w:p>
    <w:p>
      <w:pPr>
        <w:pStyle w:val="Normal"/>
        <w:pBdr/>
        <w:ind w:right="119" w:hanging="0"/>
        <w:jc w:val="both"/>
        <w:rPr>
          <w:rFonts w:ascii="Verdana" w:hAnsi="Verdana" w:eastAsia="Verdana" w:cs="Verdana"/>
          <w:sz w:val="18"/>
          <w:szCs w:val="18"/>
        </w:rPr>
      </w:pPr>
      <w:r>
        <w:rPr>
          <w:rFonts w:eastAsia="Verdana" w:cs="Verdana" w:ascii="Verdana" w:hAnsi="Verdana"/>
          <w:b/>
          <w:sz w:val="18"/>
          <w:szCs w:val="18"/>
        </w:rPr>
        <w:t xml:space="preserve">5.1 - </w:t>
      </w:r>
      <w:r>
        <w:rPr>
          <w:rFonts w:eastAsia="Verdana" w:cs="Verdana" w:ascii="Verdana" w:hAnsi="Verdana"/>
          <w:sz w:val="18"/>
          <w:szCs w:val="18"/>
        </w:rPr>
        <w:t>As condições gerais do fornecimento, tais como os prazos para entrega e recebimento do objeto, as obrigações da Administração e do fornecedor registrado e demais condições do ajuste, encontram-se definidos no Termo de Referência, Anexo I do Edital.</w:t>
      </w:r>
    </w:p>
    <w:p>
      <w:pPr>
        <w:pStyle w:val="Normal"/>
        <w:pBdr/>
        <w:ind w:right="119" w:hanging="0"/>
        <w:jc w:val="both"/>
        <w:rPr>
          <w:rFonts w:ascii="Verdana" w:hAnsi="Verdana" w:eastAsia="Verdana" w:cs="Verdana"/>
          <w:b/>
          <w:b/>
          <w:sz w:val="18"/>
          <w:szCs w:val="18"/>
        </w:rPr>
      </w:pPr>
      <w:r>
        <w:rPr>
          <w:rFonts w:eastAsia="Verdana" w:cs="Verdana" w:ascii="Verdana" w:hAnsi="Verdana"/>
          <w:b/>
          <w:sz w:val="18"/>
          <w:szCs w:val="18"/>
        </w:rPr>
      </w:r>
    </w:p>
    <w:p>
      <w:pPr>
        <w:pStyle w:val="Normal"/>
        <w:shd w:val="clear" w:color="auto" w:fill="C0C0C0"/>
        <w:jc w:val="both"/>
        <w:rPr>
          <w:rFonts w:ascii="Verdana" w:hAnsi="Verdana" w:eastAsia="Verdana" w:cs="Verdana"/>
          <w:b/>
          <w:b/>
          <w:sz w:val="18"/>
          <w:szCs w:val="18"/>
        </w:rPr>
      </w:pPr>
      <w:r>
        <w:rPr>
          <w:rFonts w:eastAsia="Verdana" w:cs="Verdana" w:ascii="Verdana" w:hAnsi="Verdana"/>
          <w:b/>
          <w:sz w:val="18"/>
          <w:szCs w:val="18"/>
        </w:rPr>
        <w:t>6- DA ADESÃO À ATA DE REGISTRO DE PREÇOS</w:t>
      </w:r>
    </w:p>
    <w:p>
      <w:pPr>
        <w:pStyle w:val="Normal"/>
        <w:pBdr/>
        <w:ind w:right="119" w:hanging="0"/>
        <w:jc w:val="both"/>
        <w:rPr>
          <w:rFonts w:ascii="Verdana" w:hAnsi="Verdana" w:eastAsia="Verdana" w:cs="Verdana"/>
          <w:sz w:val="18"/>
          <w:szCs w:val="18"/>
        </w:rPr>
      </w:pPr>
      <w:r>
        <w:rPr>
          <w:rFonts w:eastAsia="Verdana" w:cs="Verdana" w:ascii="Verdana" w:hAnsi="Verdana"/>
          <w:sz w:val="18"/>
          <w:szCs w:val="18"/>
        </w:rPr>
      </w:r>
    </w:p>
    <w:p>
      <w:pPr>
        <w:pStyle w:val="Normal"/>
        <w:pBdr/>
        <w:ind w:right="119" w:hanging="0"/>
        <w:jc w:val="both"/>
        <w:rPr>
          <w:rFonts w:ascii="Verdana" w:hAnsi="Verdana" w:eastAsia="Verdana" w:cs="Verdana"/>
          <w:sz w:val="18"/>
          <w:szCs w:val="18"/>
        </w:rPr>
      </w:pPr>
      <w:r>
        <w:rPr>
          <w:rFonts w:eastAsia="Verdana" w:cs="Verdana" w:ascii="Verdana" w:hAnsi="Verdana"/>
          <w:b/>
          <w:sz w:val="18"/>
          <w:szCs w:val="18"/>
        </w:rPr>
        <w:t>6.1 -</w:t>
      </w:r>
      <w:r>
        <w:rPr>
          <w:rFonts w:eastAsia="Verdana" w:cs="Verdana" w:ascii="Verdana" w:hAnsi="Verdana"/>
          <w:sz w:val="18"/>
          <w:szCs w:val="18"/>
        </w:rPr>
        <w:t xml:space="preserve"> Não serão permitidas adesões à presente Ata de Registro de Preços.</w:t>
      </w:r>
    </w:p>
    <w:p>
      <w:pPr>
        <w:pStyle w:val="Normal"/>
        <w:pBdr/>
        <w:ind w:right="119" w:hanging="0"/>
        <w:jc w:val="both"/>
        <w:rPr>
          <w:rFonts w:ascii="Verdana" w:hAnsi="Verdana" w:eastAsia="Verdana" w:cs="Verdana"/>
          <w:sz w:val="18"/>
          <w:szCs w:val="18"/>
        </w:rPr>
      </w:pPr>
      <w:r>
        <w:rPr>
          <w:rFonts w:eastAsia="Verdana" w:cs="Verdana" w:ascii="Verdana" w:hAnsi="Verdana"/>
          <w:sz w:val="18"/>
          <w:szCs w:val="18"/>
        </w:rPr>
      </w:r>
    </w:p>
    <w:p>
      <w:pPr>
        <w:pStyle w:val="Normal"/>
        <w:pBdr/>
        <w:shd w:val="clear" w:color="auto" w:fill="C0C0C0"/>
        <w:jc w:val="both"/>
        <w:rPr>
          <w:rFonts w:ascii="Verdana" w:hAnsi="Verdana" w:eastAsia="Verdana" w:cs="Verdana"/>
          <w:b/>
          <w:b/>
          <w:sz w:val="18"/>
          <w:szCs w:val="18"/>
        </w:rPr>
      </w:pPr>
      <w:r>
        <w:rPr>
          <w:rFonts w:eastAsia="Verdana" w:cs="Verdana" w:ascii="Verdana" w:hAnsi="Verdana"/>
          <w:b/>
          <w:sz w:val="18"/>
          <w:szCs w:val="18"/>
        </w:rPr>
        <w:t>7 - DA ALTERAÇÃO OU ATUALIZAÇÃO DOS PREÇOS REGISTRADOS</w:t>
      </w:r>
    </w:p>
    <w:p>
      <w:pPr>
        <w:pStyle w:val="Normal"/>
        <w:tabs>
          <w:tab w:val="clear" w:pos="720"/>
          <w:tab w:val="left" w:pos="426" w:leader="none"/>
        </w:tabs>
        <w:jc w:val="both"/>
        <w:rPr>
          <w:rFonts w:ascii="Verdana" w:hAnsi="Verdana" w:eastAsia="Verdana" w:cs="Verdana"/>
          <w:b/>
          <w:b/>
          <w:sz w:val="18"/>
          <w:szCs w:val="18"/>
        </w:rPr>
      </w:pPr>
      <w:r>
        <w:rPr>
          <w:rFonts w:eastAsia="Verdana" w:cs="Verdana" w:ascii="Verdana" w:hAnsi="Verdana"/>
          <w:b/>
          <w:sz w:val="18"/>
          <w:szCs w:val="18"/>
        </w:rPr>
      </w:r>
    </w:p>
    <w:p>
      <w:pPr>
        <w:pStyle w:val="Normal"/>
        <w:jc w:val="both"/>
        <w:rPr>
          <w:rFonts w:ascii="Verdana" w:hAnsi="Verdana" w:eastAsia="Verdana" w:cs="Verdana"/>
          <w:sz w:val="18"/>
          <w:szCs w:val="18"/>
        </w:rPr>
      </w:pPr>
      <w:r>
        <w:rPr>
          <w:rFonts w:eastAsia="Verdana" w:cs="Verdana" w:ascii="Verdana" w:hAnsi="Verdana"/>
          <w:b/>
          <w:sz w:val="18"/>
          <w:szCs w:val="18"/>
        </w:rPr>
        <w:t>7.1 -</w:t>
      </w:r>
      <w:r>
        <w:rPr>
          <w:rFonts w:eastAsia="Verdana" w:cs="Verdana" w:ascii="Verdana" w:hAnsi="Verdana"/>
          <w:sz w:val="18"/>
          <w:szCs w:val="18"/>
        </w:rPr>
        <w:t xml:space="preserve"> Os preços registrados poderão ser alterados ou atualizados em decorrência de eventual redução dos preços praticados no mercado ou de fato que eleve o custo dos bens, das obras ou dos serviços registrados, nas seguintes situações:</w:t>
      </w:r>
    </w:p>
    <w:p>
      <w:pPr>
        <w:pStyle w:val="Normal"/>
        <w:jc w:val="both"/>
        <w:rPr>
          <w:rFonts w:ascii="Verdana" w:hAnsi="Verdana" w:eastAsia="Verdana" w:cs="Verdana"/>
          <w:sz w:val="18"/>
          <w:szCs w:val="18"/>
        </w:rPr>
      </w:pPr>
      <w:r>
        <w:rPr>
          <w:rFonts w:eastAsia="Verdana" w:cs="Verdana" w:ascii="Verdana" w:hAnsi="Verdana"/>
          <w:sz w:val="18"/>
          <w:szCs w:val="18"/>
        </w:rPr>
      </w:r>
    </w:p>
    <w:p>
      <w:pPr>
        <w:pStyle w:val="Normal"/>
        <w:jc w:val="both"/>
        <w:rPr>
          <w:rFonts w:ascii="Verdana" w:hAnsi="Verdana" w:eastAsia="Verdana" w:cs="Verdana"/>
          <w:sz w:val="18"/>
          <w:szCs w:val="18"/>
        </w:rPr>
      </w:pPr>
      <w:r>
        <w:rPr>
          <w:rFonts w:eastAsia="Verdana" w:cs="Verdana" w:ascii="Verdana" w:hAnsi="Verdana"/>
          <w:b/>
          <w:sz w:val="18"/>
          <w:szCs w:val="18"/>
        </w:rPr>
        <w:t>7.1.1 -</w:t>
      </w:r>
      <w:r>
        <w:rPr>
          <w:rFonts w:eastAsia="Verdana" w:cs="Verdana" w:ascii="Verdana" w:hAnsi="Verdana"/>
          <w:sz w:val="18"/>
          <w:szCs w:val="18"/>
        </w:rPr>
        <w:t xml:space="preserve"> Em caso de força maior, caso fortuito ou fato do príncipe ou em decorrência de fatos imprevisíveis ou previsíveis de consequências incalculáveis, que inviabilizem a execução da ata tal como pactuada, nos termos do disposto na alínea “d” do inciso II do caput do art. 124 da Lei nº 14.133, de 2021;</w:t>
      </w:r>
    </w:p>
    <w:p>
      <w:pPr>
        <w:pStyle w:val="Normal"/>
        <w:jc w:val="both"/>
        <w:rPr>
          <w:rFonts w:ascii="Verdana" w:hAnsi="Verdana" w:eastAsia="Verdana" w:cs="Verdana"/>
          <w:b/>
          <w:b/>
          <w:sz w:val="18"/>
          <w:szCs w:val="18"/>
        </w:rPr>
      </w:pPr>
      <w:r>
        <w:rPr>
          <w:rFonts w:eastAsia="Verdana" w:cs="Verdana" w:ascii="Verdana" w:hAnsi="Verdana"/>
          <w:b/>
          <w:sz w:val="18"/>
          <w:szCs w:val="18"/>
        </w:rPr>
      </w:r>
    </w:p>
    <w:p>
      <w:pPr>
        <w:pStyle w:val="Normal"/>
        <w:jc w:val="both"/>
        <w:rPr>
          <w:rFonts w:ascii="Verdana" w:hAnsi="Verdana" w:eastAsia="Verdana" w:cs="Verdana"/>
          <w:sz w:val="18"/>
          <w:szCs w:val="18"/>
        </w:rPr>
      </w:pPr>
      <w:r>
        <w:rPr>
          <w:rFonts w:eastAsia="Verdana" w:cs="Verdana" w:ascii="Verdana" w:hAnsi="Verdana"/>
          <w:b/>
          <w:sz w:val="18"/>
          <w:szCs w:val="18"/>
        </w:rPr>
        <w:t>7.1.2 -</w:t>
      </w:r>
      <w:r>
        <w:rPr>
          <w:rFonts w:eastAsia="Verdana" w:cs="Verdana" w:ascii="Verdana" w:hAnsi="Verdana"/>
          <w:sz w:val="18"/>
          <w:szCs w:val="18"/>
        </w:rPr>
        <w:t xml:space="preserve"> Em caso de criação, alteração ou extinção de quaisquer tributos ou encargos legais ou superveniência de disposições legais, com comprovada repercussão sobre os preços registrados; ou</w:t>
      </w:r>
    </w:p>
    <w:p>
      <w:pPr>
        <w:pStyle w:val="Normal"/>
        <w:jc w:val="both"/>
        <w:rPr>
          <w:rFonts w:ascii="Verdana" w:hAnsi="Verdana" w:eastAsia="Verdana" w:cs="Verdana"/>
          <w:sz w:val="18"/>
          <w:szCs w:val="18"/>
        </w:rPr>
      </w:pPr>
      <w:r>
        <w:rPr>
          <w:rFonts w:eastAsia="Verdana" w:cs="Verdana" w:ascii="Verdana" w:hAnsi="Verdana"/>
          <w:sz w:val="18"/>
          <w:szCs w:val="18"/>
        </w:rPr>
      </w:r>
    </w:p>
    <w:p>
      <w:pPr>
        <w:pStyle w:val="Normal"/>
        <w:jc w:val="both"/>
        <w:rPr>
          <w:rFonts w:ascii="Verdana" w:hAnsi="Verdana" w:eastAsia="Verdana" w:cs="Verdana"/>
          <w:sz w:val="18"/>
          <w:szCs w:val="18"/>
        </w:rPr>
      </w:pPr>
      <w:r>
        <w:rPr>
          <w:rFonts w:eastAsia="Verdana" w:cs="Verdana" w:ascii="Verdana" w:hAnsi="Verdana"/>
          <w:b/>
          <w:sz w:val="18"/>
          <w:szCs w:val="18"/>
        </w:rPr>
        <w:t>7.1.3 -</w:t>
      </w:r>
      <w:r>
        <w:rPr>
          <w:rFonts w:eastAsia="Verdana" w:cs="Verdana" w:ascii="Verdana" w:hAnsi="Verdana"/>
          <w:sz w:val="18"/>
          <w:szCs w:val="18"/>
        </w:rPr>
        <w:t xml:space="preserve"> Na hipótese de previsão no edital de cláusula de reajustamento ou repactuação sobre os preços registrados, nos termos do disposto na Lei nº 14.133, de 2021.</w:t>
      </w:r>
    </w:p>
    <w:p>
      <w:pPr>
        <w:pStyle w:val="Normal"/>
        <w:jc w:val="both"/>
        <w:rPr>
          <w:rFonts w:ascii="Verdana" w:hAnsi="Verdana" w:eastAsia="Verdana" w:cs="Verdana"/>
          <w:sz w:val="18"/>
          <w:szCs w:val="18"/>
        </w:rPr>
      </w:pPr>
      <w:r>
        <w:rPr>
          <w:rFonts w:eastAsia="Verdana" w:cs="Verdana" w:ascii="Verdana" w:hAnsi="Verdana"/>
          <w:sz w:val="18"/>
          <w:szCs w:val="18"/>
        </w:rPr>
      </w:r>
    </w:p>
    <w:p>
      <w:pPr>
        <w:pStyle w:val="Normal"/>
        <w:jc w:val="both"/>
        <w:rPr>
          <w:rFonts w:ascii="Verdana" w:hAnsi="Verdana" w:eastAsia="Verdana" w:cs="Verdana"/>
          <w:sz w:val="18"/>
          <w:szCs w:val="18"/>
        </w:rPr>
      </w:pPr>
      <w:r>
        <w:rPr>
          <w:rFonts w:eastAsia="Verdana" w:cs="Verdana" w:ascii="Verdana" w:hAnsi="Verdana"/>
          <w:b/>
          <w:sz w:val="18"/>
          <w:szCs w:val="18"/>
        </w:rPr>
        <w:t>7.2 -</w:t>
      </w:r>
      <w:r>
        <w:rPr>
          <w:rFonts w:eastAsia="Verdana" w:cs="Verdana" w:ascii="Verdana" w:hAnsi="Verdana"/>
          <w:sz w:val="18"/>
          <w:szCs w:val="18"/>
        </w:rPr>
        <w:t xml:space="preserve">  Na hipótese de o preço registrado tornar-se superior ao preço praticado no mercado, por motivo superveniente, o órgão ou a entidade gerenciadora convocará o fornecedor para negociar a redução do preço registrado.</w:t>
      </w:r>
    </w:p>
    <w:p>
      <w:pPr>
        <w:pStyle w:val="Normal"/>
        <w:jc w:val="both"/>
        <w:rPr>
          <w:rFonts w:ascii="Verdana" w:hAnsi="Verdana" w:eastAsia="Verdana" w:cs="Verdana"/>
          <w:sz w:val="18"/>
          <w:szCs w:val="18"/>
        </w:rPr>
      </w:pPr>
      <w:r>
        <w:rPr>
          <w:rFonts w:eastAsia="Verdana" w:cs="Verdana" w:ascii="Verdana" w:hAnsi="Verdana"/>
          <w:sz w:val="18"/>
          <w:szCs w:val="18"/>
        </w:rPr>
      </w:r>
    </w:p>
    <w:p>
      <w:pPr>
        <w:pStyle w:val="Normal"/>
        <w:jc w:val="both"/>
        <w:rPr>
          <w:rFonts w:ascii="Verdana" w:hAnsi="Verdana" w:eastAsia="Verdana" w:cs="Verdana"/>
          <w:sz w:val="18"/>
          <w:szCs w:val="18"/>
        </w:rPr>
      </w:pPr>
      <w:r>
        <w:rPr>
          <w:rFonts w:eastAsia="Verdana" w:cs="Verdana" w:ascii="Verdana" w:hAnsi="Verdana"/>
          <w:b/>
          <w:sz w:val="18"/>
          <w:szCs w:val="18"/>
        </w:rPr>
        <w:t>7.2.1 -</w:t>
      </w:r>
      <w:r>
        <w:rPr>
          <w:rFonts w:eastAsia="Verdana" w:cs="Verdana" w:ascii="Verdana" w:hAnsi="Verdana"/>
          <w:sz w:val="18"/>
          <w:szCs w:val="18"/>
        </w:rPr>
        <w:t xml:space="preserve"> Caso não aceite reduzir seu preço aos valores praticados pelo mercado, o fornecedor será liberado do compromisso assumido quanto ao item registrado, sem aplicação de penalidades administrativas.</w:t>
      </w:r>
    </w:p>
    <w:p>
      <w:pPr>
        <w:pStyle w:val="Normal"/>
        <w:jc w:val="both"/>
        <w:rPr>
          <w:rFonts w:ascii="Verdana" w:hAnsi="Verdana" w:eastAsia="Verdana" w:cs="Verdana"/>
          <w:sz w:val="18"/>
          <w:szCs w:val="18"/>
        </w:rPr>
      </w:pPr>
      <w:r>
        <w:rPr>
          <w:rFonts w:eastAsia="Verdana" w:cs="Verdana" w:ascii="Verdana" w:hAnsi="Verdana"/>
          <w:sz w:val="18"/>
          <w:szCs w:val="18"/>
        </w:rPr>
      </w:r>
    </w:p>
    <w:p>
      <w:pPr>
        <w:pStyle w:val="Normal"/>
        <w:jc w:val="both"/>
        <w:rPr>
          <w:rFonts w:ascii="Verdana" w:hAnsi="Verdana" w:eastAsia="Verdana" w:cs="Verdana"/>
          <w:sz w:val="18"/>
          <w:szCs w:val="18"/>
        </w:rPr>
      </w:pPr>
      <w:r>
        <w:rPr>
          <w:rFonts w:eastAsia="Verdana" w:cs="Verdana" w:ascii="Verdana" w:hAnsi="Verdana"/>
          <w:b/>
          <w:sz w:val="18"/>
          <w:szCs w:val="18"/>
        </w:rPr>
        <w:t xml:space="preserve">7.2.2 - </w:t>
      </w:r>
      <w:r>
        <w:rPr>
          <w:rFonts w:eastAsia="Verdana" w:cs="Verdana" w:ascii="Verdana" w:hAnsi="Verdana"/>
          <w:sz w:val="18"/>
          <w:szCs w:val="18"/>
        </w:rPr>
        <w:t xml:space="preserve"> Na hipótese prevista no item 7.2.1 acima, o PJES convocará os fornecedores do cadastro de reserva, na ordem de classificação, para verificar se aceitam reduzir seus preços aos valores de mercado, observado o disposto no item 8.1.3.</w:t>
      </w:r>
    </w:p>
    <w:p>
      <w:pPr>
        <w:pStyle w:val="Normal"/>
        <w:jc w:val="both"/>
        <w:rPr>
          <w:rFonts w:ascii="Verdana" w:hAnsi="Verdana" w:eastAsia="Verdana" w:cs="Verdana"/>
          <w:sz w:val="18"/>
          <w:szCs w:val="18"/>
        </w:rPr>
      </w:pPr>
      <w:r>
        <w:rPr>
          <w:rFonts w:eastAsia="Verdana" w:cs="Verdana" w:ascii="Verdana" w:hAnsi="Verdana"/>
          <w:sz w:val="18"/>
          <w:szCs w:val="18"/>
        </w:rPr>
      </w:r>
    </w:p>
    <w:p>
      <w:pPr>
        <w:pStyle w:val="Normal"/>
        <w:jc w:val="both"/>
        <w:rPr>
          <w:rFonts w:ascii="Verdana" w:hAnsi="Verdana" w:eastAsia="Verdana" w:cs="Verdana"/>
          <w:sz w:val="18"/>
          <w:szCs w:val="18"/>
        </w:rPr>
      </w:pPr>
      <w:r>
        <w:rPr>
          <w:rFonts w:eastAsia="Verdana" w:cs="Verdana" w:ascii="Verdana" w:hAnsi="Verdana"/>
          <w:b/>
          <w:sz w:val="18"/>
          <w:szCs w:val="18"/>
        </w:rPr>
        <w:t>7.2.3 -</w:t>
      </w:r>
      <w:r>
        <w:rPr>
          <w:rFonts w:eastAsia="Verdana" w:cs="Verdana" w:ascii="Verdana" w:hAnsi="Verdana"/>
          <w:sz w:val="18"/>
          <w:szCs w:val="18"/>
        </w:rPr>
        <w:t xml:space="preserve"> Se não obtiver êxito nas negociações, o órgão ou a entidade gerenciadora procederá ao cancelamento da ata de registro de preços, nos termos do disposto no item 8.2, e adotará as medidas cabíveis para a obtenção de contratação mais vantajosa.</w:t>
      </w:r>
    </w:p>
    <w:p>
      <w:pPr>
        <w:pStyle w:val="Normal"/>
        <w:jc w:val="both"/>
        <w:rPr>
          <w:rFonts w:ascii="Verdana" w:hAnsi="Verdana" w:eastAsia="Verdana" w:cs="Verdana"/>
          <w:sz w:val="18"/>
          <w:szCs w:val="18"/>
        </w:rPr>
      </w:pPr>
      <w:r>
        <w:rPr>
          <w:rFonts w:eastAsia="Verdana" w:cs="Verdana" w:ascii="Verdana" w:hAnsi="Verdana"/>
          <w:sz w:val="18"/>
          <w:szCs w:val="18"/>
        </w:rPr>
      </w:r>
    </w:p>
    <w:p>
      <w:pPr>
        <w:pStyle w:val="Normal"/>
        <w:jc w:val="both"/>
        <w:rPr>
          <w:rFonts w:ascii="Verdana" w:hAnsi="Verdana" w:eastAsia="Verdana" w:cs="Verdana"/>
          <w:sz w:val="18"/>
          <w:szCs w:val="18"/>
        </w:rPr>
      </w:pPr>
      <w:r>
        <w:rPr>
          <w:rFonts w:eastAsia="Verdana" w:cs="Verdana" w:ascii="Verdana" w:hAnsi="Verdana"/>
          <w:b/>
          <w:sz w:val="18"/>
          <w:szCs w:val="18"/>
        </w:rPr>
        <w:t>7.3 -</w:t>
      </w:r>
      <w:r>
        <w:rPr>
          <w:rFonts w:eastAsia="Verdana" w:cs="Verdana" w:ascii="Verdana" w:hAnsi="Verdana"/>
          <w:sz w:val="18"/>
          <w:szCs w:val="18"/>
        </w:rPr>
        <w:t xml:space="preserve"> Na hipótese de o preço de mercado tornar-se superior ao preço registrado e o fornecedor não poder cumprir as obrigações estabelecidas na ata, será facultado ao fornecedor requerer ao gerenciador a alteração do preço registrado, mediante comprovação de fato superveniente que o impossibilite de cumprir o compromisso.</w:t>
      </w:r>
    </w:p>
    <w:p>
      <w:pPr>
        <w:pStyle w:val="Normal"/>
        <w:jc w:val="both"/>
        <w:rPr>
          <w:rFonts w:ascii="Verdana" w:hAnsi="Verdana" w:eastAsia="Verdana" w:cs="Verdana"/>
          <w:sz w:val="18"/>
          <w:szCs w:val="18"/>
        </w:rPr>
      </w:pPr>
      <w:r>
        <w:rPr>
          <w:rFonts w:eastAsia="Verdana" w:cs="Verdana" w:ascii="Verdana" w:hAnsi="Verdana"/>
          <w:sz w:val="18"/>
          <w:szCs w:val="18"/>
        </w:rPr>
      </w:r>
    </w:p>
    <w:p>
      <w:pPr>
        <w:pStyle w:val="Normal"/>
        <w:jc w:val="both"/>
        <w:rPr>
          <w:rFonts w:ascii="Verdana" w:hAnsi="Verdana" w:eastAsia="Verdana" w:cs="Verdana"/>
          <w:sz w:val="18"/>
          <w:szCs w:val="18"/>
        </w:rPr>
      </w:pPr>
      <w:r>
        <w:rPr>
          <w:rFonts w:eastAsia="Verdana" w:cs="Verdana" w:ascii="Verdana" w:hAnsi="Verdana"/>
          <w:b/>
          <w:sz w:val="18"/>
          <w:szCs w:val="18"/>
        </w:rPr>
        <w:t xml:space="preserve">7.3.1 - </w:t>
      </w:r>
      <w:r>
        <w:rPr>
          <w:rFonts w:eastAsia="Verdana" w:cs="Verdana" w:ascii="Verdana" w:hAnsi="Verdana"/>
          <w:sz w:val="18"/>
          <w:szCs w:val="18"/>
        </w:rPr>
        <w:t>Para fins do disposto no item 7.3 acima, o fornecedor encaminhará, juntamente com o pedido de alteração, a documentação comprobatória ou a planilha de custos que demonstre a inviabilidade do preço registrado em relação às condições inicialmente pactuadas.</w:t>
      </w:r>
    </w:p>
    <w:p>
      <w:pPr>
        <w:pStyle w:val="Normal"/>
        <w:jc w:val="both"/>
        <w:rPr>
          <w:rFonts w:ascii="Verdana" w:hAnsi="Verdana" w:eastAsia="Verdana" w:cs="Verdana"/>
          <w:sz w:val="18"/>
          <w:szCs w:val="18"/>
        </w:rPr>
      </w:pPr>
      <w:r>
        <w:rPr>
          <w:rFonts w:eastAsia="Verdana" w:cs="Verdana" w:ascii="Verdana" w:hAnsi="Verdana"/>
          <w:sz w:val="18"/>
          <w:szCs w:val="18"/>
        </w:rPr>
      </w:r>
    </w:p>
    <w:p>
      <w:pPr>
        <w:pStyle w:val="Normal"/>
        <w:jc w:val="both"/>
        <w:rPr>
          <w:rFonts w:ascii="Verdana" w:hAnsi="Verdana" w:eastAsia="Verdana" w:cs="Verdana"/>
          <w:sz w:val="18"/>
          <w:szCs w:val="18"/>
        </w:rPr>
      </w:pPr>
      <w:r>
        <w:rPr>
          <w:rFonts w:eastAsia="Verdana" w:cs="Verdana" w:ascii="Verdana" w:hAnsi="Verdana"/>
          <w:b/>
          <w:sz w:val="18"/>
          <w:szCs w:val="18"/>
        </w:rPr>
        <w:t>7.3.2 -</w:t>
      </w:r>
      <w:r>
        <w:rPr>
          <w:rFonts w:eastAsia="Verdana" w:cs="Verdana" w:ascii="Verdana" w:hAnsi="Verdana"/>
          <w:sz w:val="18"/>
          <w:szCs w:val="18"/>
        </w:rPr>
        <w:t xml:space="preserve"> Na hipótese de não comprovação da existência de fato superveniente que inviabilize o preço registrado, o pedido será indeferido pelo órgão ou pela entidade gerenciadora e o fornecedor deverá cumprir as obrigações estabelecidas na ata, sob pena de cancelamento do seu registro, nos termos do disposto no item 8.1, sem prejuízo da aplicação das sanções previstas na Lei nº 14.133, de 2021, e na legislação aplicável.</w:t>
      </w:r>
    </w:p>
    <w:p>
      <w:pPr>
        <w:pStyle w:val="Normal"/>
        <w:jc w:val="both"/>
        <w:rPr>
          <w:rFonts w:ascii="Verdana" w:hAnsi="Verdana" w:eastAsia="Verdana" w:cs="Verdana"/>
          <w:sz w:val="18"/>
          <w:szCs w:val="18"/>
        </w:rPr>
      </w:pPr>
      <w:r>
        <w:rPr>
          <w:rFonts w:eastAsia="Verdana" w:cs="Verdana" w:ascii="Verdana" w:hAnsi="Verdana"/>
          <w:sz w:val="18"/>
          <w:szCs w:val="18"/>
        </w:rPr>
      </w:r>
    </w:p>
    <w:p>
      <w:pPr>
        <w:pStyle w:val="Normal"/>
        <w:jc w:val="both"/>
        <w:rPr>
          <w:rFonts w:ascii="Verdana" w:hAnsi="Verdana" w:eastAsia="Verdana" w:cs="Verdana"/>
          <w:sz w:val="18"/>
          <w:szCs w:val="18"/>
        </w:rPr>
      </w:pPr>
      <w:r>
        <w:rPr>
          <w:rFonts w:eastAsia="Verdana" w:cs="Verdana" w:ascii="Verdana" w:hAnsi="Verdana"/>
          <w:b/>
          <w:sz w:val="18"/>
          <w:szCs w:val="18"/>
        </w:rPr>
        <w:t xml:space="preserve">7.3.3 - </w:t>
      </w:r>
      <w:r>
        <w:rPr>
          <w:rFonts w:eastAsia="Verdana" w:cs="Verdana" w:ascii="Verdana" w:hAnsi="Verdana"/>
          <w:sz w:val="18"/>
          <w:szCs w:val="18"/>
        </w:rPr>
        <w:t>Na hipótese de cancelamento do registro do fornecedor, nos termos do disposto no item 7.3.2, o gerenciador convocará os fornecedores do cadastro de reserva, na ordem de classificação, para verificar se aceitam manter seus preços registrados, observado o disposto no § 3º do art. 18.</w:t>
      </w:r>
    </w:p>
    <w:p>
      <w:pPr>
        <w:pStyle w:val="Normal"/>
        <w:jc w:val="both"/>
        <w:rPr>
          <w:rFonts w:ascii="Verdana" w:hAnsi="Verdana" w:eastAsia="Verdana" w:cs="Verdana"/>
          <w:sz w:val="18"/>
          <w:szCs w:val="18"/>
        </w:rPr>
      </w:pPr>
      <w:r>
        <w:rPr>
          <w:rFonts w:eastAsia="Verdana" w:cs="Verdana" w:ascii="Verdana" w:hAnsi="Verdana"/>
          <w:sz w:val="18"/>
          <w:szCs w:val="18"/>
        </w:rPr>
      </w:r>
    </w:p>
    <w:p>
      <w:pPr>
        <w:pStyle w:val="Normal"/>
        <w:jc w:val="both"/>
        <w:rPr>
          <w:rFonts w:ascii="Verdana" w:hAnsi="Verdana" w:eastAsia="Verdana" w:cs="Verdana"/>
          <w:sz w:val="18"/>
          <w:szCs w:val="18"/>
        </w:rPr>
      </w:pPr>
      <w:r>
        <w:rPr>
          <w:rFonts w:eastAsia="Verdana" w:cs="Verdana" w:ascii="Verdana" w:hAnsi="Verdana"/>
          <w:b/>
          <w:sz w:val="18"/>
          <w:szCs w:val="18"/>
        </w:rPr>
        <w:t>7.3.4 -</w:t>
      </w:r>
      <w:r>
        <w:rPr>
          <w:rFonts w:eastAsia="Verdana" w:cs="Verdana" w:ascii="Verdana" w:hAnsi="Verdana"/>
          <w:sz w:val="18"/>
          <w:szCs w:val="18"/>
        </w:rPr>
        <w:t xml:space="preserve"> Se não obtiver êxito nas negociações, o órgão ou a entidade gerenciadora procederá ao cancelamento da ata de registro de preços, nos termos do disposto no item 8.2, e adotará as medidas cabíveis para a obtenção da contratação mais vantajosa.</w:t>
      </w:r>
    </w:p>
    <w:p>
      <w:pPr>
        <w:pStyle w:val="Normal"/>
        <w:jc w:val="both"/>
        <w:rPr>
          <w:rFonts w:ascii="Verdana" w:hAnsi="Verdana" w:eastAsia="Verdana" w:cs="Verdana"/>
          <w:sz w:val="18"/>
          <w:szCs w:val="18"/>
        </w:rPr>
      </w:pPr>
      <w:r>
        <w:rPr>
          <w:rFonts w:eastAsia="Verdana" w:cs="Verdana" w:ascii="Verdana" w:hAnsi="Verdana"/>
          <w:sz w:val="18"/>
          <w:szCs w:val="18"/>
        </w:rPr>
      </w:r>
    </w:p>
    <w:p>
      <w:pPr>
        <w:pStyle w:val="Normal"/>
        <w:jc w:val="both"/>
        <w:rPr>
          <w:rFonts w:ascii="Verdana" w:hAnsi="Verdana" w:eastAsia="Verdana" w:cs="Verdana"/>
          <w:sz w:val="18"/>
          <w:szCs w:val="18"/>
        </w:rPr>
      </w:pPr>
      <w:r>
        <w:rPr>
          <w:rFonts w:eastAsia="Verdana" w:cs="Verdana" w:ascii="Verdana" w:hAnsi="Verdana"/>
          <w:b/>
          <w:sz w:val="18"/>
          <w:szCs w:val="18"/>
        </w:rPr>
        <w:t>7.3.5 -</w:t>
      </w:r>
      <w:r>
        <w:rPr>
          <w:rFonts w:eastAsia="Verdana" w:cs="Verdana" w:ascii="Verdana" w:hAnsi="Verdana"/>
          <w:sz w:val="18"/>
          <w:szCs w:val="18"/>
        </w:rPr>
        <w:t xml:space="preserve"> Na hipótese de comprovação do disposto no item 7.3 e no item 7.3.1, o órgão ou a entidade gerenciadora atualizará o preço registrado, de acordo com a realidade dos valores praticados pelo mercado.</w:t>
      </w:r>
    </w:p>
    <w:p>
      <w:pPr>
        <w:pStyle w:val="Normal"/>
        <w:jc w:val="both"/>
        <w:rPr>
          <w:rFonts w:ascii="Verdana" w:hAnsi="Verdana" w:eastAsia="Verdana" w:cs="Verdana"/>
          <w:sz w:val="18"/>
          <w:szCs w:val="18"/>
        </w:rPr>
      </w:pPr>
      <w:r>
        <w:rPr>
          <w:rFonts w:eastAsia="Verdana" w:cs="Verdana" w:ascii="Verdana" w:hAnsi="Verdana"/>
          <w:sz w:val="18"/>
          <w:szCs w:val="18"/>
        </w:rPr>
      </w:r>
    </w:p>
    <w:p>
      <w:pPr>
        <w:pStyle w:val="Normal"/>
        <w:pBdr/>
        <w:shd w:val="clear" w:color="auto" w:fill="C0C0C0"/>
        <w:jc w:val="both"/>
        <w:rPr>
          <w:rFonts w:ascii="Verdana" w:hAnsi="Verdana" w:eastAsia="Verdana" w:cs="Verdana"/>
          <w:b/>
          <w:b/>
          <w:sz w:val="18"/>
          <w:szCs w:val="18"/>
        </w:rPr>
      </w:pPr>
      <w:r>
        <w:rPr>
          <w:rFonts w:eastAsia="Verdana" w:cs="Verdana" w:ascii="Verdana" w:hAnsi="Verdana"/>
          <w:b/>
          <w:sz w:val="18"/>
          <w:szCs w:val="18"/>
        </w:rPr>
        <w:t xml:space="preserve">8 - DO CANCELAMENTO DO REGISTRO DO FORNECEDOR E DOS PREÇOS REGISTRADOS  </w:t>
      </w:r>
    </w:p>
    <w:p>
      <w:pPr>
        <w:pStyle w:val="Normal"/>
        <w:jc w:val="both"/>
        <w:rPr>
          <w:rFonts w:ascii="Verdana" w:hAnsi="Verdana" w:eastAsia="Verdana" w:cs="Verdana"/>
          <w:b/>
          <w:b/>
          <w:sz w:val="18"/>
          <w:szCs w:val="18"/>
        </w:rPr>
      </w:pPr>
      <w:r>
        <w:rPr>
          <w:rFonts w:eastAsia="Verdana" w:cs="Verdana" w:ascii="Verdana" w:hAnsi="Verdana"/>
          <w:b/>
          <w:sz w:val="18"/>
          <w:szCs w:val="18"/>
        </w:rPr>
      </w:r>
    </w:p>
    <w:p>
      <w:pPr>
        <w:pStyle w:val="Normal"/>
        <w:jc w:val="both"/>
        <w:rPr>
          <w:rFonts w:ascii="Verdana" w:hAnsi="Verdana" w:eastAsia="Verdana" w:cs="Verdana"/>
          <w:sz w:val="18"/>
          <w:szCs w:val="18"/>
        </w:rPr>
      </w:pPr>
      <w:r>
        <w:rPr>
          <w:rFonts w:eastAsia="Verdana" w:cs="Verdana" w:ascii="Verdana" w:hAnsi="Verdana"/>
          <w:b/>
          <w:sz w:val="18"/>
          <w:szCs w:val="18"/>
        </w:rPr>
        <w:t xml:space="preserve">8.1 - </w:t>
      </w:r>
      <w:r>
        <w:rPr>
          <w:rFonts w:eastAsia="Verdana" w:cs="Verdana" w:ascii="Verdana" w:hAnsi="Verdana"/>
          <w:sz w:val="18"/>
          <w:szCs w:val="18"/>
        </w:rPr>
        <w:t xml:space="preserve"> O </w:t>
      </w:r>
      <w:r>
        <w:rPr>
          <w:rFonts w:eastAsia="Verdana" w:cs="Verdana" w:ascii="Verdana" w:hAnsi="Verdana"/>
          <w:b/>
          <w:sz w:val="18"/>
          <w:szCs w:val="18"/>
        </w:rPr>
        <w:t>registro do fornecedor será cancelado</w:t>
      </w:r>
      <w:r>
        <w:rPr>
          <w:rFonts w:eastAsia="Verdana" w:cs="Verdana" w:ascii="Verdana" w:hAnsi="Verdana"/>
          <w:sz w:val="18"/>
          <w:szCs w:val="18"/>
        </w:rPr>
        <w:t xml:space="preserve"> pelo órgão ou pela entidade gerenciadora, quando o fornecedor:</w:t>
      </w:r>
    </w:p>
    <w:p>
      <w:pPr>
        <w:pStyle w:val="Normal"/>
        <w:jc w:val="both"/>
        <w:rPr>
          <w:rFonts w:ascii="Verdana" w:hAnsi="Verdana" w:eastAsia="Verdana" w:cs="Verdana"/>
          <w:sz w:val="18"/>
          <w:szCs w:val="18"/>
        </w:rPr>
      </w:pPr>
      <w:r>
        <w:rPr>
          <w:rFonts w:eastAsia="Verdana" w:cs="Verdana" w:ascii="Verdana" w:hAnsi="Verdana"/>
          <w:b/>
          <w:sz w:val="18"/>
          <w:szCs w:val="18"/>
        </w:rPr>
        <w:t>a)</w:t>
      </w:r>
      <w:r>
        <w:rPr>
          <w:rFonts w:eastAsia="Verdana" w:cs="Verdana" w:ascii="Verdana" w:hAnsi="Verdana"/>
          <w:sz w:val="18"/>
          <w:szCs w:val="18"/>
        </w:rPr>
        <w:t xml:space="preserve"> descumprir as condições da ata de registro de preços sem motivo justificado;</w:t>
      </w:r>
    </w:p>
    <w:p>
      <w:pPr>
        <w:pStyle w:val="Normal"/>
        <w:jc w:val="both"/>
        <w:rPr>
          <w:rFonts w:ascii="Verdana" w:hAnsi="Verdana" w:eastAsia="Verdana" w:cs="Verdana"/>
          <w:sz w:val="18"/>
          <w:szCs w:val="18"/>
        </w:rPr>
      </w:pPr>
      <w:r>
        <w:rPr>
          <w:rFonts w:eastAsia="Verdana" w:cs="Verdana" w:ascii="Verdana" w:hAnsi="Verdana"/>
          <w:b/>
          <w:sz w:val="18"/>
          <w:szCs w:val="18"/>
        </w:rPr>
        <w:t xml:space="preserve">b) </w:t>
      </w:r>
      <w:r>
        <w:rPr>
          <w:rFonts w:eastAsia="Verdana" w:cs="Verdana" w:ascii="Verdana" w:hAnsi="Verdana"/>
          <w:sz w:val="18"/>
          <w:szCs w:val="18"/>
        </w:rPr>
        <w:t>não retirar a nota de empenho, ou instrumento equivalente, no prazo estabelecido pela Administração sem justificativa razoável;</w:t>
      </w:r>
    </w:p>
    <w:p>
      <w:pPr>
        <w:pStyle w:val="Normal"/>
        <w:jc w:val="both"/>
        <w:rPr>
          <w:rFonts w:ascii="Verdana" w:hAnsi="Verdana" w:eastAsia="Verdana" w:cs="Verdana"/>
          <w:sz w:val="18"/>
          <w:szCs w:val="18"/>
        </w:rPr>
      </w:pPr>
      <w:r>
        <w:rPr>
          <w:rFonts w:eastAsia="Verdana" w:cs="Verdana" w:ascii="Verdana" w:hAnsi="Verdana"/>
          <w:b/>
          <w:sz w:val="18"/>
          <w:szCs w:val="18"/>
        </w:rPr>
        <w:t xml:space="preserve">c) </w:t>
      </w:r>
      <w:r>
        <w:rPr>
          <w:rFonts w:eastAsia="Verdana" w:cs="Verdana" w:ascii="Verdana" w:hAnsi="Verdana"/>
          <w:sz w:val="18"/>
          <w:szCs w:val="18"/>
        </w:rPr>
        <w:t>não aceitar manter seu preço registrado, na hipótese prevista no item 7.3.2; ou</w:t>
      </w:r>
    </w:p>
    <w:p>
      <w:pPr>
        <w:pStyle w:val="Normal"/>
        <w:jc w:val="both"/>
        <w:rPr>
          <w:rFonts w:ascii="Verdana" w:hAnsi="Verdana" w:eastAsia="Verdana" w:cs="Verdana"/>
          <w:sz w:val="18"/>
          <w:szCs w:val="18"/>
        </w:rPr>
      </w:pPr>
      <w:r>
        <w:rPr>
          <w:rFonts w:eastAsia="Verdana" w:cs="Verdana" w:ascii="Verdana" w:hAnsi="Verdana"/>
          <w:b/>
          <w:sz w:val="18"/>
          <w:szCs w:val="18"/>
        </w:rPr>
        <w:t>d)</w:t>
      </w:r>
      <w:r>
        <w:rPr>
          <w:rFonts w:eastAsia="Verdana" w:cs="Verdana" w:ascii="Verdana" w:hAnsi="Verdana"/>
          <w:sz w:val="18"/>
          <w:szCs w:val="18"/>
        </w:rPr>
        <w:t xml:space="preserve"> sofrer sanção prevista nos incisos III ou IV do caput do art. 156 da Lei nº 14.133, de 2021.</w:t>
      </w:r>
    </w:p>
    <w:p>
      <w:pPr>
        <w:pStyle w:val="Normal"/>
        <w:jc w:val="both"/>
        <w:rPr>
          <w:rFonts w:ascii="Verdana" w:hAnsi="Verdana" w:eastAsia="Verdana" w:cs="Verdana"/>
          <w:sz w:val="18"/>
          <w:szCs w:val="18"/>
        </w:rPr>
      </w:pPr>
      <w:r>
        <w:rPr>
          <w:rFonts w:eastAsia="Verdana" w:cs="Verdana" w:ascii="Verdana" w:hAnsi="Verdana"/>
          <w:sz w:val="18"/>
          <w:szCs w:val="18"/>
        </w:rPr>
      </w:r>
    </w:p>
    <w:p>
      <w:pPr>
        <w:pStyle w:val="Normal"/>
        <w:jc w:val="both"/>
        <w:rPr>
          <w:rFonts w:ascii="Verdana" w:hAnsi="Verdana" w:eastAsia="Verdana" w:cs="Verdana"/>
          <w:sz w:val="18"/>
          <w:szCs w:val="18"/>
        </w:rPr>
      </w:pPr>
      <w:r>
        <w:rPr>
          <w:rFonts w:eastAsia="Verdana" w:cs="Verdana" w:ascii="Verdana" w:hAnsi="Verdana"/>
          <w:b/>
          <w:sz w:val="18"/>
          <w:szCs w:val="18"/>
        </w:rPr>
        <w:t>8.1.1 -</w:t>
      </w:r>
      <w:r>
        <w:rPr>
          <w:rFonts w:eastAsia="Verdana" w:cs="Verdana" w:ascii="Verdana" w:hAnsi="Verdana"/>
          <w:sz w:val="18"/>
          <w:szCs w:val="18"/>
        </w:rPr>
        <w:t xml:space="preserve"> Na hipótese prevista da alínea “d” acima, caso a penalidade aplicada ao fornecedor não ultrapasse o prazo de vigência da ata de registro de preços, o órgão ou a entidade gerenciadora poderá, mediante decisão fundamentada, decidir pela manutenção do registro de preços, vedadas novas contratações derivadas da ata enquanto perdurarem os efeitos da sanção.</w:t>
      </w:r>
    </w:p>
    <w:p>
      <w:pPr>
        <w:pStyle w:val="Normal"/>
        <w:jc w:val="both"/>
        <w:rPr>
          <w:rFonts w:ascii="Verdana" w:hAnsi="Verdana" w:eastAsia="Verdana" w:cs="Verdana"/>
          <w:sz w:val="18"/>
          <w:szCs w:val="18"/>
        </w:rPr>
      </w:pPr>
      <w:r>
        <w:rPr>
          <w:rFonts w:eastAsia="Verdana" w:cs="Verdana" w:ascii="Verdana" w:hAnsi="Verdana"/>
          <w:sz w:val="18"/>
          <w:szCs w:val="18"/>
        </w:rPr>
      </w:r>
    </w:p>
    <w:p>
      <w:pPr>
        <w:pStyle w:val="Normal"/>
        <w:jc w:val="both"/>
        <w:rPr>
          <w:rFonts w:ascii="Verdana" w:hAnsi="Verdana" w:eastAsia="Verdana" w:cs="Verdana"/>
          <w:sz w:val="18"/>
          <w:szCs w:val="18"/>
        </w:rPr>
      </w:pPr>
      <w:r>
        <w:rPr>
          <w:rFonts w:eastAsia="Verdana" w:cs="Verdana" w:ascii="Verdana" w:hAnsi="Verdana"/>
          <w:b/>
          <w:sz w:val="18"/>
          <w:szCs w:val="18"/>
        </w:rPr>
        <w:t>8.1.2 -</w:t>
      </w:r>
      <w:r>
        <w:rPr>
          <w:rFonts w:eastAsia="Verdana" w:cs="Verdana" w:ascii="Verdana" w:hAnsi="Verdana"/>
          <w:sz w:val="18"/>
          <w:szCs w:val="18"/>
        </w:rPr>
        <w:t xml:space="preserve"> O cancelamento do registro nas hipóteses previstas no item 8.1 acima será formalizado por decisão da Secretaria Geral, garantidos os princípios do contraditório e da ampla defesa.</w:t>
      </w:r>
    </w:p>
    <w:p>
      <w:pPr>
        <w:pStyle w:val="Normal"/>
        <w:jc w:val="both"/>
        <w:rPr>
          <w:rFonts w:ascii="Verdana" w:hAnsi="Verdana" w:eastAsia="Verdana" w:cs="Verdana"/>
          <w:sz w:val="18"/>
          <w:szCs w:val="18"/>
        </w:rPr>
      </w:pPr>
      <w:r>
        <w:rPr>
          <w:rFonts w:eastAsia="Verdana" w:cs="Verdana" w:ascii="Verdana" w:hAnsi="Verdana"/>
          <w:sz w:val="18"/>
          <w:szCs w:val="18"/>
        </w:rPr>
      </w:r>
    </w:p>
    <w:p>
      <w:pPr>
        <w:pStyle w:val="Normal"/>
        <w:jc w:val="both"/>
        <w:rPr>
          <w:rFonts w:ascii="Verdana" w:hAnsi="Verdana" w:eastAsia="Verdana" w:cs="Verdana"/>
          <w:sz w:val="18"/>
          <w:szCs w:val="18"/>
        </w:rPr>
      </w:pPr>
      <w:r>
        <w:rPr>
          <w:rFonts w:eastAsia="Verdana" w:cs="Verdana" w:ascii="Verdana" w:hAnsi="Verdana"/>
          <w:b/>
          <w:sz w:val="18"/>
          <w:szCs w:val="18"/>
        </w:rPr>
        <w:t>8.1.3 -</w:t>
      </w:r>
      <w:r>
        <w:rPr>
          <w:rFonts w:eastAsia="Verdana" w:cs="Verdana" w:ascii="Verdana" w:hAnsi="Verdana"/>
          <w:sz w:val="18"/>
          <w:szCs w:val="18"/>
        </w:rPr>
        <w:t xml:space="preserve"> Na hipótese de cancelamento do registro do fornecedor, o PJES poderá convocar os licitantes que compõem o cadastro de reserva, observada a ordem de classificação.</w:t>
      </w:r>
    </w:p>
    <w:p>
      <w:pPr>
        <w:pStyle w:val="Normal"/>
        <w:jc w:val="both"/>
        <w:rPr>
          <w:rFonts w:ascii="Verdana" w:hAnsi="Verdana" w:eastAsia="Verdana" w:cs="Verdana"/>
          <w:sz w:val="18"/>
          <w:szCs w:val="18"/>
        </w:rPr>
      </w:pPr>
      <w:r>
        <w:rPr>
          <w:rFonts w:eastAsia="Verdana" w:cs="Verdana" w:ascii="Verdana" w:hAnsi="Verdana"/>
          <w:sz w:val="18"/>
          <w:szCs w:val="18"/>
        </w:rPr>
      </w:r>
    </w:p>
    <w:p>
      <w:pPr>
        <w:pStyle w:val="Normal"/>
        <w:jc w:val="both"/>
        <w:rPr>
          <w:rFonts w:ascii="Verdana" w:hAnsi="Verdana" w:eastAsia="Verdana" w:cs="Verdana"/>
          <w:sz w:val="18"/>
          <w:szCs w:val="18"/>
        </w:rPr>
      </w:pPr>
      <w:r>
        <w:rPr>
          <w:rFonts w:eastAsia="Verdana" w:cs="Verdana" w:ascii="Verdana" w:hAnsi="Verdana"/>
          <w:b/>
          <w:sz w:val="18"/>
          <w:szCs w:val="18"/>
        </w:rPr>
        <w:t>8.2 -</w:t>
      </w:r>
      <w:r>
        <w:rPr>
          <w:rFonts w:eastAsia="Verdana" w:cs="Verdana" w:ascii="Verdana" w:hAnsi="Verdana"/>
          <w:sz w:val="18"/>
          <w:szCs w:val="18"/>
        </w:rPr>
        <w:t xml:space="preserve"> O </w:t>
      </w:r>
      <w:r>
        <w:rPr>
          <w:rFonts w:eastAsia="Verdana" w:cs="Verdana" w:ascii="Verdana" w:hAnsi="Verdana"/>
          <w:b/>
          <w:sz w:val="18"/>
          <w:szCs w:val="18"/>
        </w:rPr>
        <w:t>cancelamento dos preços registrados</w:t>
      </w:r>
      <w:r>
        <w:rPr>
          <w:rFonts w:eastAsia="Verdana" w:cs="Verdana" w:ascii="Verdana" w:hAnsi="Verdana"/>
          <w:sz w:val="18"/>
          <w:szCs w:val="18"/>
        </w:rPr>
        <w:t xml:space="preserve"> poderá ser realizado pelo gerenciador, em determinada ata de registro de preços, total ou parcialmente, nas seguintes hipóteses, desde que devidamente comprovadas e justificadas:</w:t>
      </w:r>
    </w:p>
    <w:p>
      <w:pPr>
        <w:pStyle w:val="Normal"/>
        <w:jc w:val="both"/>
        <w:rPr>
          <w:rFonts w:ascii="Verdana" w:hAnsi="Verdana" w:eastAsia="Verdana" w:cs="Verdana"/>
          <w:sz w:val="18"/>
          <w:szCs w:val="18"/>
        </w:rPr>
      </w:pPr>
      <w:r>
        <w:rPr>
          <w:rFonts w:eastAsia="Verdana" w:cs="Verdana" w:ascii="Verdana" w:hAnsi="Verdana"/>
          <w:sz w:val="18"/>
          <w:szCs w:val="18"/>
        </w:rPr>
      </w:r>
    </w:p>
    <w:p>
      <w:pPr>
        <w:pStyle w:val="Normal"/>
        <w:jc w:val="both"/>
        <w:rPr>
          <w:rFonts w:ascii="Verdana" w:hAnsi="Verdana" w:eastAsia="Verdana" w:cs="Verdana"/>
          <w:sz w:val="18"/>
          <w:szCs w:val="18"/>
        </w:rPr>
      </w:pPr>
      <w:r>
        <w:rPr>
          <w:rFonts w:eastAsia="Verdana" w:cs="Verdana" w:ascii="Verdana" w:hAnsi="Verdana"/>
          <w:b/>
          <w:sz w:val="18"/>
          <w:szCs w:val="18"/>
        </w:rPr>
        <w:t>8.2.1 -</w:t>
      </w:r>
      <w:r>
        <w:rPr>
          <w:rFonts w:eastAsia="Verdana" w:cs="Verdana" w:ascii="Verdana" w:hAnsi="Verdana"/>
          <w:sz w:val="18"/>
          <w:szCs w:val="18"/>
        </w:rPr>
        <w:t xml:space="preserve"> Por razão de interesse público;</w:t>
      </w:r>
    </w:p>
    <w:p>
      <w:pPr>
        <w:pStyle w:val="Normal"/>
        <w:jc w:val="both"/>
        <w:rPr>
          <w:rFonts w:ascii="Verdana" w:hAnsi="Verdana" w:eastAsia="Verdana" w:cs="Verdana"/>
          <w:b/>
          <w:b/>
          <w:sz w:val="18"/>
          <w:szCs w:val="18"/>
        </w:rPr>
      </w:pPr>
      <w:r>
        <w:rPr>
          <w:rFonts w:eastAsia="Verdana" w:cs="Verdana" w:ascii="Verdana" w:hAnsi="Verdana"/>
          <w:b/>
          <w:sz w:val="18"/>
          <w:szCs w:val="18"/>
        </w:rPr>
      </w:r>
    </w:p>
    <w:p>
      <w:pPr>
        <w:pStyle w:val="Normal"/>
        <w:jc w:val="both"/>
        <w:rPr>
          <w:rFonts w:ascii="Verdana" w:hAnsi="Verdana" w:eastAsia="Verdana" w:cs="Verdana"/>
          <w:sz w:val="18"/>
          <w:szCs w:val="18"/>
        </w:rPr>
      </w:pPr>
      <w:r>
        <w:rPr>
          <w:rFonts w:eastAsia="Verdana" w:cs="Verdana" w:ascii="Verdana" w:hAnsi="Verdana"/>
          <w:b/>
          <w:sz w:val="18"/>
          <w:szCs w:val="18"/>
        </w:rPr>
        <w:t>8.2.2 -</w:t>
      </w:r>
      <w:r>
        <w:rPr>
          <w:rFonts w:eastAsia="Verdana" w:cs="Verdana" w:ascii="Verdana" w:hAnsi="Verdana"/>
          <w:sz w:val="18"/>
          <w:szCs w:val="18"/>
        </w:rPr>
        <w:t xml:space="preserve"> A pedido do fornecedor, decorrente de caso fortuito ou força maior; ou</w:t>
      </w:r>
    </w:p>
    <w:p>
      <w:pPr>
        <w:pStyle w:val="Normal"/>
        <w:jc w:val="both"/>
        <w:rPr>
          <w:rFonts w:ascii="Verdana" w:hAnsi="Verdana" w:eastAsia="Verdana" w:cs="Verdana"/>
          <w:sz w:val="18"/>
          <w:szCs w:val="18"/>
        </w:rPr>
      </w:pPr>
      <w:r>
        <w:rPr>
          <w:rFonts w:eastAsia="Verdana" w:cs="Verdana" w:ascii="Verdana" w:hAnsi="Verdana"/>
          <w:sz w:val="18"/>
          <w:szCs w:val="18"/>
        </w:rPr>
      </w:r>
    </w:p>
    <w:p>
      <w:pPr>
        <w:pStyle w:val="Normal"/>
        <w:jc w:val="both"/>
        <w:rPr>
          <w:rFonts w:ascii="Verdana" w:hAnsi="Verdana" w:eastAsia="Verdana" w:cs="Verdana"/>
          <w:sz w:val="18"/>
          <w:szCs w:val="18"/>
        </w:rPr>
      </w:pPr>
      <w:r>
        <w:rPr>
          <w:rFonts w:eastAsia="Verdana" w:cs="Verdana" w:ascii="Verdana" w:hAnsi="Verdana"/>
          <w:b/>
          <w:sz w:val="18"/>
          <w:szCs w:val="18"/>
        </w:rPr>
        <w:t>8.2.3 -</w:t>
      </w:r>
      <w:r>
        <w:rPr>
          <w:rFonts w:eastAsia="Verdana" w:cs="Verdana" w:ascii="Verdana" w:hAnsi="Verdana"/>
          <w:sz w:val="18"/>
          <w:szCs w:val="18"/>
        </w:rPr>
        <w:t xml:space="preserve"> Se não houver êxito nas negociações, nos termos do disposto no item 7.2.3 e no item 7.3.4.</w:t>
      </w:r>
    </w:p>
    <w:p>
      <w:pPr>
        <w:pStyle w:val="Normal"/>
        <w:jc w:val="both"/>
        <w:rPr>
          <w:rFonts w:ascii="Verdana" w:hAnsi="Verdana" w:eastAsia="Verdana" w:cs="Verdana"/>
          <w:sz w:val="18"/>
          <w:szCs w:val="18"/>
        </w:rPr>
      </w:pPr>
      <w:r>
        <w:rPr>
          <w:rFonts w:eastAsia="Verdana" w:cs="Verdana" w:ascii="Verdana" w:hAnsi="Verdana"/>
          <w:sz w:val="18"/>
          <w:szCs w:val="18"/>
        </w:rPr>
      </w:r>
    </w:p>
    <w:p>
      <w:pPr>
        <w:pStyle w:val="Normal"/>
        <w:pBdr/>
        <w:shd w:val="clear" w:color="auto" w:fill="C0C0C0"/>
        <w:jc w:val="both"/>
        <w:rPr>
          <w:rFonts w:ascii="Verdana" w:hAnsi="Verdana" w:eastAsia="Verdana" w:cs="Verdana"/>
          <w:b/>
          <w:b/>
          <w:sz w:val="18"/>
          <w:szCs w:val="18"/>
        </w:rPr>
      </w:pPr>
      <w:r>
        <w:rPr>
          <w:rFonts w:eastAsia="Verdana" w:cs="Verdana" w:ascii="Verdana" w:hAnsi="Verdana"/>
          <w:b/>
          <w:sz w:val="18"/>
          <w:szCs w:val="18"/>
        </w:rPr>
        <w:t>9 - DAS PENALIDADES E DOS PROCEDIMENTOS PARA PENALIZAÇÃO</w:t>
      </w:r>
    </w:p>
    <w:p>
      <w:pPr>
        <w:pStyle w:val="Normal"/>
        <w:tabs>
          <w:tab w:val="clear" w:pos="720"/>
          <w:tab w:val="left" w:pos="567" w:leader="none"/>
        </w:tabs>
        <w:jc w:val="both"/>
        <w:rPr>
          <w:rFonts w:ascii="Verdana" w:hAnsi="Verdana" w:eastAsia="Verdana" w:cs="Verdana"/>
          <w:b/>
          <w:b/>
          <w:sz w:val="18"/>
          <w:szCs w:val="18"/>
        </w:rPr>
      </w:pPr>
      <w:r>
        <w:rPr>
          <w:rFonts w:eastAsia="Verdana" w:cs="Verdana" w:ascii="Verdana" w:hAnsi="Verdana"/>
          <w:b/>
          <w:sz w:val="18"/>
          <w:szCs w:val="18"/>
        </w:rPr>
      </w:r>
    </w:p>
    <w:p>
      <w:pPr>
        <w:pStyle w:val="Normal"/>
        <w:jc w:val="both"/>
        <w:rPr>
          <w:rFonts w:ascii="Verdana" w:hAnsi="Verdana" w:eastAsia="Verdana" w:cs="Verdana"/>
          <w:sz w:val="18"/>
          <w:szCs w:val="18"/>
        </w:rPr>
      </w:pPr>
      <w:r>
        <w:rPr>
          <w:rFonts w:eastAsia="Verdana" w:cs="Verdana" w:ascii="Verdana" w:hAnsi="Verdana"/>
          <w:b/>
          <w:sz w:val="18"/>
          <w:szCs w:val="18"/>
        </w:rPr>
        <w:t>9.1 -</w:t>
      </w:r>
      <w:r>
        <w:rPr>
          <w:rFonts w:eastAsia="Verdana" w:cs="Verdana" w:ascii="Verdana" w:hAnsi="Verdana"/>
          <w:sz w:val="18"/>
          <w:szCs w:val="18"/>
        </w:rPr>
        <w:tab/>
        <w:t>O descumprimento da Ata de Registro de Preços ensejará aplicação das penalidades estabelecidas no Termo de Referência - Anexo I.</w:t>
      </w:r>
    </w:p>
    <w:p>
      <w:pPr>
        <w:pStyle w:val="Normal"/>
        <w:jc w:val="both"/>
        <w:rPr>
          <w:rFonts w:ascii="Verdana" w:hAnsi="Verdana" w:eastAsia="Verdana" w:cs="Verdana"/>
          <w:sz w:val="18"/>
          <w:szCs w:val="18"/>
        </w:rPr>
      </w:pPr>
      <w:r>
        <w:rPr>
          <w:rFonts w:eastAsia="Verdana" w:cs="Verdana" w:ascii="Verdana" w:hAnsi="Verdana"/>
          <w:sz w:val="18"/>
          <w:szCs w:val="18"/>
        </w:rPr>
      </w:r>
    </w:p>
    <w:p>
      <w:pPr>
        <w:pStyle w:val="Normal"/>
        <w:jc w:val="both"/>
        <w:rPr>
          <w:rFonts w:ascii="Verdana" w:hAnsi="Verdana" w:eastAsia="Verdana" w:cs="Verdana"/>
          <w:sz w:val="18"/>
          <w:szCs w:val="18"/>
        </w:rPr>
      </w:pPr>
      <w:r>
        <w:rPr>
          <w:rFonts w:eastAsia="Verdana" w:cs="Verdana" w:ascii="Verdana" w:hAnsi="Verdana"/>
          <w:b/>
          <w:sz w:val="18"/>
          <w:szCs w:val="18"/>
        </w:rPr>
        <w:t>9.1.1 -</w:t>
      </w:r>
      <w:r>
        <w:rPr>
          <w:rFonts w:eastAsia="Verdana" w:cs="Verdana" w:ascii="Verdana" w:hAnsi="Verdana"/>
          <w:sz w:val="18"/>
          <w:szCs w:val="18"/>
        </w:rPr>
        <w:t xml:space="preserve"> As sanções do item acima também se aplicam aos integrantes do cadastro de reserva, em pregão para registro de preços que, convocados, não honrarem o compromisso assumido injustificadamente. </w:t>
      </w:r>
    </w:p>
    <w:p>
      <w:pPr>
        <w:pStyle w:val="Normal"/>
        <w:jc w:val="both"/>
        <w:rPr>
          <w:rFonts w:ascii="Verdana" w:hAnsi="Verdana" w:eastAsia="Verdana" w:cs="Verdana"/>
          <w:sz w:val="18"/>
          <w:szCs w:val="18"/>
        </w:rPr>
      </w:pPr>
      <w:r>
        <w:rPr>
          <w:rFonts w:eastAsia="Verdana" w:cs="Verdana" w:ascii="Verdana" w:hAnsi="Verdana"/>
          <w:sz w:val="18"/>
          <w:szCs w:val="18"/>
        </w:rPr>
      </w:r>
    </w:p>
    <w:p>
      <w:pPr>
        <w:pStyle w:val="Normal"/>
        <w:jc w:val="both"/>
        <w:rPr>
          <w:rFonts w:ascii="Verdana" w:hAnsi="Verdana" w:eastAsia="Verdana" w:cs="Verdana"/>
          <w:sz w:val="18"/>
          <w:szCs w:val="18"/>
        </w:rPr>
      </w:pPr>
      <w:r>
        <w:rPr>
          <w:rFonts w:eastAsia="Verdana" w:cs="Verdana" w:ascii="Verdana" w:hAnsi="Verdana"/>
          <w:sz w:val="18"/>
          <w:szCs w:val="18"/>
        </w:rPr>
      </w:r>
    </w:p>
    <w:p>
      <w:pPr>
        <w:pStyle w:val="Normal"/>
        <w:pBdr/>
        <w:shd w:val="clear" w:color="auto" w:fill="C0C0C0"/>
        <w:jc w:val="both"/>
        <w:rPr>
          <w:rFonts w:ascii="Verdana" w:hAnsi="Verdana" w:eastAsia="Verdana" w:cs="Verdana"/>
          <w:b/>
          <w:b/>
          <w:sz w:val="18"/>
          <w:szCs w:val="18"/>
        </w:rPr>
      </w:pPr>
      <w:r>
        <w:rPr>
          <w:rFonts w:eastAsia="Verdana" w:cs="Verdana" w:ascii="Verdana" w:hAnsi="Verdana"/>
          <w:b/>
          <w:sz w:val="18"/>
          <w:szCs w:val="18"/>
        </w:rPr>
        <w:t>10 - DAS DISPOSIÇÕES FINAIS</w:t>
      </w:r>
    </w:p>
    <w:p>
      <w:pPr>
        <w:pStyle w:val="Normal"/>
        <w:jc w:val="both"/>
        <w:rPr>
          <w:rFonts w:ascii="Verdana" w:hAnsi="Verdana" w:eastAsia="Verdana" w:cs="Verdana"/>
          <w:b/>
          <w:b/>
          <w:sz w:val="18"/>
          <w:szCs w:val="18"/>
        </w:rPr>
      </w:pPr>
      <w:r>
        <w:rPr>
          <w:rFonts w:eastAsia="Verdana" w:cs="Verdana" w:ascii="Verdana" w:hAnsi="Verdana"/>
          <w:b/>
          <w:sz w:val="18"/>
          <w:szCs w:val="18"/>
        </w:rPr>
      </w:r>
    </w:p>
    <w:p>
      <w:pPr>
        <w:pStyle w:val="Normal"/>
        <w:pBdr/>
        <w:tabs>
          <w:tab w:val="clear" w:pos="720"/>
          <w:tab w:val="left" w:pos="1134" w:leader="none"/>
        </w:tabs>
        <w:jc w:val="both"/>
        <w:rPr>
          <w:rFonts w:ascii="Verdana" w:hAnsi="Verdana" w:eastAsia="Verdana" w:cs="Verdana"/>
          <w:b/>
          <w:b/>
          <w:sz w:val="18"/>
          <w:szCs w:val="18"/>
        </w:rPr>
      </w:pPr>
      <w:r>
        <w:rPr>
          <w:rFonts w:eastAsia="Verdana" w:cs="Verdana" w:ascii="Verdana" w:hAnsi="Verdana"/>
          <w:b/>
          <w:sz w:val="18"/>
          <w:szCs w:val="18"/>
        </w:rPr>
        <w:t>10.1</w:t>
      </w:r>
      <w:r>
        <w:rPr>
          <w:rFonts w:eastAsia="Verdana" w:cs="Verdana" w:ascii="Verdana" w:hAnsi="Verdana"/>
          <w:sz w:val="18"/>
          <w:szCs w:val="18"/>
        </w:rPr>
        <w:t xml:space="preserve"> - As especificações técnicas constantes do Edital do Pregão Eletrônico nº </w:t>
      </w:r>
      <w:r>
        <w:rPr>
          <w:rFonts w:eastAsia="Verdana" w:cs="Verdana" w:ascii="Verdana" w:hAnsi="Verdana"/>
          <w:b/>
          <w:sz w:val="18"/>
          <w:szCs w:val="18"/>
        </w:rPr>
        <w:t>PE___/2023</w:t>
      </w:r>
      <w:r>
        <w:rPr>
          <w:rFonts w:eastAsia="Verdana" w:cs="Verdana" w:ascii="Verdana" w:hAnsi="Verdana"/>
          <w:sz w:val="18"/>
          <w:szCs w:val="18"/>
        </w:rPr>
        <w:t xml:space="preserve"> integram esta Ata de Registro de Preços, independentemente de transcrição.</w:t>
      </w:r>
    </w:p>
    <w:p>
      <w:pPr>
        <w:pStyle w:val="Normal"/>
        <w:pBdr/>
        <w:tabs>
          <w:tab w:val="clear" w:pos="720"/>
          <w:tab w:val="left" w:pos="1134" w:leader="none"/>
        </w:tabs>
        <w:jc w:val="both"/>
        <w:rPr>
          <w:rFonts w:ascii="Verdana" w:hAnsi="Verdana" w:eastAsia="Verdana" w:cs="Verdana"/>
          <w:b/>
          <w:b/>
          <w:sz w:val="18"/>
          <w:szCs w:val="18"/>
        </w:rPr>
      </w:pPr>
      <w:r>
        <w:rPr>
          <w:rFonts w:eastAsia="Verdana" w:cs="Verdana" w:ascii="Verdana" w:hAnsi="Verdana"/>
          <w:b/>
          <w:sz w:val="18"/>
          <w:szCs w:val="18"/>
        </w:rPr>
      </w:r>
    </w:p>
    <w:p>
      <w:pPr>
        <w:pStyle w:val="Normal"/>
        <w:pBdr/>
        <w:jc w:val="both"/>
        <w:rPr>
          <w:rFonts w:ascii="Verdana" w:hAnsi="Verdana" w:eastAsia="Verdana" w:cs="Verdana"/>
          <w:sz w:val="18"/>
          <w:szCs w:val="18"/>
        </w:rPr>
      </w:pPr>
      <w:r>
        <w:rPr>
          <w:rFonts w:eastAsia="Verdana" w:cs="Verdana" w:ascii="Verdana" w:hAnsi="Verdana"/>
          <w:b/>
          <w:sz w:val="18"/>
          <w:szCs w:val="18"/>
        </w:rPr>
        <w:t>10.2</w:t>
      </w:r>
      <w:r>
        <w:rPr>
          <w:rFonts w:eastAsia="Verdana" w:cs="Verdana" w:ascii="Verdana" w:hAnsi="Verdana"/>
          <w:sz w:val="18"/>
          <w:szCs w:val="18"/>
        </w:rPr>
        <w:t xml:space="preserve"> - Fica eleito o foro de Vitória-ES para solucionar os litígios decorrentes desta Ata, excluído qualquer outro, por mais privilegiado que seja.</w:t>
      </w:r>
    </w:p>
    <w:p>
      <w:pPr>
        <w:pStyle w:val="Normal"/>
        <w:tabs>
          <w:tab w:val="clear" w:pos="720"/>
          <w:tab w:val="left" w:pos="426" w:leader="none"/>
        </w:tabs>
        <w:jc w:val="both"/>
        <w:rPr>
          <w:rFonts w:ascii="Verdana" w:hAnsi="Verdana" w:eastAsia="Verdana" w:cs="Verdana"/>
          <w:sz w:val="18"/>
          <w:szCs w:val="18"/>
        </w:rPr>
      </w:pPr>
      <w:r>
        <w:rPr>
          <w:rFonts w:eastAsia="Verdana" w:cs="Verdana" w:ascii="Verdana" w:hAnsi="Verdana"/>
          <w:sz w:val="18"/>
          <w:szCs w:val="18"/>
        </w:rPr>
      </w:r>
    </w:p>
    <w:p>
      <w:pPr>
        <w:pStyle w:val="Normal"/>
        <w:pBdr/>
        <w:jc w:val="both"/>
        <w:rPr>
          <w:rFonts w:ascii="Verdana" w:hAnsi="Verdana" w:eastAsia="Verdana" w:cs="Verdana"/>
          <w:sz w:val="18"/>
          <w:szCs w:val="18"/>
        </w:rPr>
      </w:pPr>
      <w:r>
        <w:rPr>
          <w:rFonts w:eastAsia="Verdana" w:cs="Verdana" w:ascii="Verdana" w:hAnsi="Verdana"/>
          <w:b/>
          <w:sz w:val="18"/>
          <w:szCs w:val="18"/>
        </w:rPr>
        <w:t>10.3</w:t>
      </w:r>
      <w:r>
        <w:rPr>
          <w:rFonts w:eastAsia="Verdana" w:cs="Verdana" w:ascii="Verdana" w:hAnsi="Verdana"/>
          <w:sz w:val="18"/>
          <w:szCs w:val="18"/>
        </w:rPr>
        <w:t xml:space="preserve"> - Aos casos omissos aplicar-se-ão às disposições constantes da Lei 14.133/2021 e demais normas aplicáveis.</w:t>
      </w:r>
    </w:p>
    <w:p>
      <w:pPr>
        <w:pStyle w:val="Normal"/>
        <w:pBdr/>
        <w:ind w:firstLine="1134"/>
        <w:jc w:val="both"/>
        <w:rPr>
          <w:rFonts w:ascii="Verdana" w:hAnsi="Verdana" w:eastAsia="Verdana" w:cs="Verdana"/>
          <w:sz w:val="18"/>
          <w:szCs w:val="18"/>
        </w:rPr>
      </w:pPr>
      <w:r>
        <w:rPr>
          <w:rFonts w:eastAsia="Verdana" w:cs="Verdana" w:ascii="Verdana" w:hAnsi="Verdana"/>
          <w:sz w:val="18"/>
          <w:szCs w:val="18"/>
        </w:rPr>
      </w:r>
    </w:p>
    <w:p>
      <w:pPr>
        <w:pStyle w:val="Normal"/>
        <w:tabs>
          <w:tab w:val="clear" w:pos="720"/>
          <w:tab w:val="left" w:pos="12780" w:leader="none"/>
        </w:tabs>
        <w:ind w:left="426" w:hanging="426"/>
        <w:jc w:val="right"/>
        <w:rPr>
          <w:rFonts w:ascii="Verdana" w:hAnsi="Verdana" w:eastAsia="Verdana" w:cs="Verdana"/>
          <w:sz w:val="18"/>
          <w:szCs w:val="18"/>
        </w:rPr>
      </w:pPr>
      <w:r>
        <w:rPr>
          <w:rFonts w:eastAsia="Verdana" w:cs="Verdana" w:ascii="Verdana" w:hAnsi="Verdana"/>
          <w:sz w:val="18"/>
          <w:szCs w:val="18"/>
        </w:rPr>
      </w:r>
    </w:p>
    <w:p>
      <w:pPr>
        <w:pStyle w:val="Normal"/>
        <w:jc w:val="center"/>
        <w:rPr>
          <w:rFonts w:ascii="Verdana" w:hAnsi="Verdana" w:eastAsia="Verdana" w:cs="Verdana"/>
          <w:sz w:val="18"/>
          <w:szCs w:val="18"/>
        </w:rPr>
      </w:pPr>
      <w:r>
        <w:rPr>
          <w:rFonts w:eastAsia="Verdana" w:cs="Verdana" w:ascii="Verdana" w:hAnsi="Verdana"/>
          <w:sz w:val="18"/>
          <w:szCs w:val="18"/>
        </w:rPr>
        <w:t>___________________________________________________</w:t>
      </w:r>
    </w:p>
    <w:p>
      <w:pPr>
        <w:pStyle w:val="Normal"/>
        <w:jc w:val="center"/>
        <w:rPr>
          <w:rFonts w:ascii="Verdana" w:hAnsi="Verdana" w:eastAsia="Verdana" w:cs="Verdana"/>
          <w:b/>
          <w:b/>
          <w:sz w:val="18"/>
          <w:szCs w:val="18"/>
        </w:rPr>
      </w:pPr>
      <w:r>
        <w:rPr>
          <w:rFonts w:eastAsia="Verdana" w:cs="Verdana" w:ascii="Verdana" w:hAnsi="Verdana"/>
          <w:b/>
          <w:sz w:val="18"/>
          <w:szCs w:val="18"/>
        </w:rPr>
        <w:t>PODER JUDICIÁRIO DO ESTADO DO ESPÍRITO SANTO</w:t>
      </w:r>
    </w:p>
    <w:p>
      <w:pPr>
        <w:pStyle w:val="Normal"/>
        <w:pBdr/>
        <w:jc w:val="center"/>
        <w:rPr>
          <w:rFonts w:ascii="Verdana" w:hAnsi="Verdana" w:eastAsia="Verdana" w:cs="Verdana"/>
          <w:sz w:val="18"/>
          <w:szCs w:val="18"/>
        </w:rPr>
      </w:pPr>
      <w:r>
        <w:rPr>
          <w:rFonts w:eastAsia="Verdana" w:cs="Verdana" w:ascii="Verdana" w:hAnsi="Verdana"/>
          <w:b/>
          <w:sz w:val="18"/>
          <w:szCs w:val="18"/>
        </w:rPr>
        <w:t>Marcelo Tavares de Albuquerque</w:t>
      </w:r>
    </w:p>
    <w:p>
      <w:pPr>
        <w:pStyle w:val="Normal"/>
        <w:pBdr/>
        <w:jc w:val="center"/>
        <w:rPr>
          <w:rFonts w:ascii="Verdana" w:hAnsi="Verdana" w:eastAsia="Verdana" w:cs="Verdana"/>
          <w:sz w:val="18"/>
          <w:szCs w:val="18"/>
        </w:rPr>
      </w:pPr>
      <w:r>
        <w:rPr>
          <w:rFonts w:eastAsia="Verdana" w:cs="Verdana" w:ascii="Verdana" w:hAnsi="Verdana"/>
          <w:sz w:val="18"/>
          <w:szCs w:val="18"/>
        </w:rPr>
      </w:r>
    </w:p>
    <w:p>
      <w:pPr>
        <w:pStyle w:val="Normal"/>
        <w:pBdr/>
        <w:jc w:val="center"/>
        <w:rPr>
          <w:rFonts w:ascii="Verdana" w:hAnsi="Verdana" w:eastAsia="Verdana" w:cs="Verdana"/>
          <w:sz w:val="18"/>
          <w:szCs w:val="18"/>
        </w:rPr>
      </w:pPr>
      <w:r>
        <w:rPr>
          <w:rFonts w:eastAsia="Verdana" w:cs="Verdana" w:ascii="Verdana" w:hAnsi="Verdana"/>
          <w:sz w:val="18"/>
          <w:szCs w:val="18"/>
        </w:rPr>
      </w:r>
    </w:p>
    <w:p>
      <w:pPr>
        <w:pStyle w:val="Normal"/>
        <w:pBdr/>
        <w:jc w:val="center"/>
        <w:rPr>
          <w:rFonts w:ascii="Verdana" w:hAnsi="Verdana" w:eastAsia="Verdana" w:cs="Verdana"/>
          <w:sz w:val="18"/>
          <w:szCs w:val="18"/>
        </w:rPr>
      </w:pPr>
      <w:r>
        <w:rPr>
          <w:rFonts w:eastAsia="Verdana" w:cs="Verdana" w:ascii="Verdana" w:hAnsi="Verdana"/>
          <w:sz w:val="18"/>
          <w:szCs w:val="18"/>
        </w:rPr>
        <w:t>____________________________________________________</w:t>
      </w:r>
    </w:p>
    <w:p>
      <w:pPr>
        <w:pStyle w:val="Normal"/>
        <w:jc w:val="center"/>
        <w:rPr>
          <w:rFonts w:ascii="Verdana" w:hAnsi="Verdana" w:eastAsia="Verdana" w:cs="Verdana"/>
          <w:b/>
          <w:b/>
          <w:sz w:val="18"/>
          <w:szCs w:val="18"/>
        </w:rPr>
      </w:pPr>
      <w:r>
        <w:rPr>
          <w:rFonts w:eastAsia="Verdana" w:cs="Verdana" w:ascii="Verdana" w:hAnsi="Verdana"/>
          <w:b/>
          <w:sz w:val="18"/>
          <w:szCs w:val="18"/>
        </w:rPr>
        <w:t>EMPRESA</w:t>
      </w:r>
    </w:p>
    <w:p>
      <w:pPr>
        <w:pStyle w:val="Normal"/>
        <w:jc w:val="center"/>
        <w:rPr>
          <w:rFonts w:ascii="Verdana" w:hAnsi="Verdana" w:eastAsia="Verdana" w:cs="Verdana"/>
          <w:b/>
          <w:b/>
          <w:sz w:val="18"/>
          <w:szCs w:val="18"/>
        </w:rPr>
      </w:pPr>
      <w:r>
        <w:rPr>
          <w:rFonts w:eastAsia="Verdana" w:cs="Verdana" w:ascii="Verdana" w:hAnsi="Verdana"/>
          <w:b/>
          <w:sz w:val="18"/>
          <w:szCs w:val="18"/>
        </w:rPr>
        <w:t>Responsável</w:t>
      </w:r>
    </w:p>
    <w:p>
      <w:pPr>
        <w:pStyle w:val="Normal"/>
        <w:pBdr/>
        <w:jc w:val="center"/>
        <w:rPr>
          <w:rFonts w:ascii="Verdana" w:hAnsi="Verdana" w:eastAsia="Verdana" w:cs="Verdana"/>
          <w:sz w:val="18"/>
          <w:szCs w:val="18"/>
        </w:rPr>
      </w:pPr>
      <w:r>
        <w:rPr>
          <w:rFonts w:eastAsia="Verdana" w:cs="Verdana" w:ascii="Verdana" w:hAnsi="Verdana"/>
          <w:sz w:val="18"/>
          <w:szCs w:val="18"/>
        </w:rPr>
      </w:r>
    </w:p>
    <w:p>
      <w:pPr>
        <w:pStyle w:val="Normal"/>
        <w:rPr>
          <w:rFonts w:ascii="Verdana" w:hAnsi="Verdana" w:eastAsia="Verdana" w:cs="Verdana"/>
          <w:sz w:val="18"/>
          <w:szCs w:val="18"/>
        </w:rPr>
      </w:pPr>
      <w:r>
        <w:rPr>
          <w:rFonts w:eastAsia="Verdana" w:cs="Verdana" w:ascii="Verdana" w:hAnsi="Verdana"/>
          <w:sz w:val="18"/>
          <w:szCs w:val="18"/>
        </w:rPr>
      </w:r>
    </w:p>
    <w:p>
      <w:pPr>
        <w:pStyle w:val="Normal"/>
        <w:rPr>
          <w:rFonts w:ascii="Verdana" w:hAnsi="Verdana" w:eastAsia="Verdana" w:cs="Verdana"/>
          <w:sz w:val="18"/>
          <w:szCs w:val="18"/>
        </w:rPr>
      </w:pPr>
      <w:r>
        <w:rPr>
          <w:rFonts w:eastAsia="Verdana" w:cs="Verdana" w:ascii="Verdana" w:hAnsi="Verdana"/>
          <w:sz w:val="18"/>
          <w:szCs w:val="18"/>
        </w:rPr>
      </w:r>
    </w:p>
    <w:p>
      <w:pPr>
        <w:pStyle w:val="Normal"/>
        <w:rPr>
          <w:rFonts w:ascii="Verdana" w:hAnsi="Verdana" w:eastAsia="Verdana" w:cs="Verdana"/>
          <w:sz w:val="18"/>
          <w:szCs w:val="18"/>
        </w:rPr>
      </w:pPr>
      <w:r>
        <w:rPr>
          <w:rFonts w:eastAsia="Verdana" w:cs="Verdana" w:ascii="Verdana" w:hAnsi="Verdana"/>
          <w:sz w:val="18"/>
          <w:szCs w:val="18"/>
        </w:rPr>
      </w:r>
    </w:p>
    <w:p>
      <w:pPr>
        <w:pStyle w:val="Normal"/>
        <w:jc w:val="both"/>
        <w:rPr>
          <w:rFonts w:ascii="Verdana" w:hAnsi="Verdana" w:eastAsia="Verdana" w:cs="Verdana"/>
          <w:sz w:val="18"/>
          <w:szCs w:val="18"/>
        </w:rPr>
      </w:pPr>
      <w:r>
        <w:rPr>
          <w:rFonts w:eastAsia="Verdana" w:cs="Verdana" w:ascii="Verdana" w:hAnsi="Verdana"/>
          <w:sz w:val="18"/>
          <w:szCs w:val="18"/>
        </w:rPr>
      </w:r>
    </w:p>
    <w:p>
      <w:pPr>
        <w:pStyle w:val="Normal"/>
        <w:jc w:val="both"/>
        <w:rPr>
          <w:rFonts w:ascii="Verdana" w:hAnsi="Verdana" w:eastAsia="Verdana" w:cs="Verdana"/>
          <w:sz w:val="18"/>
          <w:szCs w:val="18"/>
        </w:rPr>
      </w:pPr>
      <w:r>
        <w:rPr>
          <w:rFonts w:eastAsia="Verdana" w:cs="Verdana" w:ascii="Verdana" w:hAnsi="Verdana"/>
          <w:sz w:val="18"/>
          <w:szCs w:val="18"/>
        </w:rPr>
      </w:r>
    </w:p>
    <w:p>
      <w:pPr>
        <w:pStyle w:val="Normal"/>
        <w:jc w:val="both"/>
        <w:rPr>
          <w:rFonts w:ascii="Verdana" w:hAnsi="Verdana" w:eastAsia="Verdana" w:cs="Verdana"/>
          <w:sz w:val="18"/>
          <w:szCs w:val="18"/>
        </w:rPr>
      </w:pPr>
      <w:r>
        <w:rPr>
          <w:rFonts w:eastAsia="Verdana" w:cs="Verdana" w:ascii="Verdana" w:hAnsi="Verdana"/>
          <w:sz w:val="18"/>
          <w:szCs w:val="18"/>
        </w:rPr>
      </w:r>
    </w:p>
    <w:p>
      <w:pPr>
        <w:pStyle w:val="Normal"/>
        <w:jc w:val="both"/>
        <w:rPr>
          <w:rFonts w:ascii="Verdana" w:hAnsi="Verdana" w:eastAsia="Verdana" w:cs="Verdana"/>
          <w:sz w:val="18"/>
          <w:szCs w:val="18"/>
        </w:rPr>
      </w:pPr>
      <w:r>
        <w:rPr>
          <w:rFonts w:eastAsia="Verdana" w:cs="Verdana" w:ascii="Verdana" w:hAnsi="Verdana"/>
          <w:sz w:val="18"/>
          <w:szCs w:val="18"/>
        </w:rPr>
      </w:r>
    </w:p>
    <w:p>
      <w:pPr>
        <w:pStyle w:val="Normal"/>
        <w:jc w:val="both"/>
        <w:rPr>
          <w:rFonts w:ascii="Verdana" w:hAnsi="Verdana" w:eastAsia="Verdana" w:cs="Verdana"/>
          <w:sz w:val="18"/>
          <w:szCs w:val="18"/>
        </w:rPr>
      </w:pPr>
      <w:r>
        <w:rPr>
          <w:rFonts w:eastAsia="Verdana" w:cs="Verdana" w:ascii="Verdana" w:hAnsi="Verdana"/>
          <w:sz w:val="18"/>
          <w:szCs w:val="18"/>
        </w:rPr>
      </w:r>
    </w:p>
    <w:p>
      <w:pPr>
        <w:pStyle w:val="Normal"/>
        <w:jc w:val="both"/>
        <w:rPr>
          <w:rFonts w:ascii="Verdana" w:hAnsi="Verdana" w:eastAsia="Verdana" w:cs="Verdana"/>
          <w:sz w:val="18"/>
          <w:szCs w:val="18"/>
        </w:rPr>
      </w:pPr>
      <w:r>
        <w:rPr>
          <w:rFonts w:eastAsia="Verdana" w:cs="Verdana" w:ascii="Verdana" w:hAnsi="Verdana"/>
          <w:sz w:val="18"/>
          <w:szCs w:val="18"/>
        </w:rPr>
      </w:r>
    </w:p>
    <w:p>
      <w:pPr>
        <w:pStyle w:val="Normal"/>
        <w:jc w:val="both"/>
        <w:rPr>
          <w:rFonts w:ascii="Verdana" w:hAnsi="Verdana" w:eastAsia="Verdana" w:cs="Verdana"/>
          <w:sz w:val="18"/>
          <w:szCs w:val="18"/>
        </w:rPr>
      </w:pPr>
      <w:r>
        <w:rPr>
          <w:rFonts w:eastAsia="Verdana" w:cs="Verdana" w:ascii="Verdana" w:hAnsi="Verdana"/>
          <w:sz w:val="18"/>
          <w:szCs w:val="18"/>
        </w:rPr>
      </w:r>
    </w:p>
    <w:p>
      <w:pPr>
        <w:pStyle w:val="Normal"/>
        <w:jc w:val="both"/>
        <w:rPr>
          <w:rFonts w:ascii="Verdana" w:hAnsi="Verdana" w:eastAsia="Verdana" w:cs="Verdana"/>
          <w:sz w:val="18"/>
          <w:szCs w:val="18"/>
        </w:rPr>
      </w:pPr>
      <w:r>
        <w:rPr>
          <w:rFonts w:eastAsia="Verdana" w:cs="Verdana" w:ascii="Verdana" w:hAnsi="Verdana"/>
          <w:sz w:val="18"/>
          <w:szCs w:val="18"/>
        </w:rPr>
      </w:r>
    </w:p>
    <w:p>
      <w:pPr>
        <w:pStyle w:val="Normal"/>
        <w:jc w:val="both"/>
        <w:rPr>
          <w:rFonts w:ascii="Verdana" w:hAnsi="Verdana" w:eastAsia="Verdana" w:cs="Verdana"/>
          <w:sz w:val="18"/>
          <w:szCs w:val="18"/>
        </w:rPr>
      </w:pPr>
      <w:r>
        <w:rPr>
          <w:rFonts w:eastAsia="Verdana" w:cs="Verdana" w:ascii="Verdana" w:hAnsi="Verdana"/>
          <w:sz w:val="18"/>
          <w:szCs w:val="18"/>
        </w:rPr>
      </w:r>
    </w:p>
    <w:p>
      <w:pPr>
        <w:pStyle w:val="Normal"/>
        <w:jc w:val="both"/>
        <w:rPr>
          <w:rFonts w:ascii="Verdana" w:hAnsi="Verdana" w:eastAsia="Verdana" w:cs="Verdana"/>
          <w:sz w:val="18"/>
          <w:szCs w:val="18"/>
        </w:rPr>
      </w:pPr>
      <w:r>
        <w:rPr>
          <w:rFonts w:eastAsia="Verdana" w:cs="Verdana" w:ascii="Verdana" w:hAnsi="Verdana"/>
          <w:sz w:val="18"/>
          <w:szCs w:val="18"/>
        </w:rPr>
      </w:r>
    </w:p>
    <w:p>
      <w:pPr>
        <w:pStyle w:val="Normal"/>
        <w:jc w:val="both"/>
        <w:rPr>
          <w:rFonts w:ascii="Verdana" w:hAnsi="Verdana" w:eastAsia="Verdana" w:cs="Verdana"/>
          <w:sz w:val="18"/>
          <w:szCs w:val="18"/>
        </w:rPr>
      </w:pPr>
      <w:r>
        <w:rPr>
          <w:rFonts w:eastAsia="Verdana" w:cs="Verdana" w:ascii="Verdana" w:hAnsi="Verdana"/>
          <w:sz w:val="18"/>
          <w:szCs w:val="18"/>
        </w:rPr>
      </w:r>
    </w:p>
    <w:p>
      <w:pPr>
        <w:pStyle w:val="Normal"/>
        <w:jc w:val="both"/>
        <w:rPr>
          <w:rFonts w:ascii="Verdana" w:hAnsi="Verdana" w:eastAsia="Verdana" w:cs="Verdana"/>
          <w:sz w:val="18"/>
          <w:szCs w:val="18"/>
        </w:rPr>
      </w:pPr>
      <w:r>
        <w:rPr>
          <w:rFonts w:eastAsia="Verdana" w:cs="Verdana" w:ascii="Verdana" w:hAnsi="Verdana"/>
          <w:sz w:val="18"/>
          <w:szCs w:val="18"/>
        </w:rPr>
      </w:r>
    </w:p>
    <w:p>
      <w:pPr>
        <w:pStyle w:val="Normal"/>
        <w:jc w:val="both"/>
        <w:rPr>
          <w:rFonts w:ascii="Verdana" w:hAnsi="Verdana" w:eastAsia="Verdana" w:cs="Verdana"/>
          <w:sz w:val="18"/>
          <w:szCs w:val="18"/>
        </w:rPr>
      </w:pPr>
      <w:r>
        <w:rPr>
          <w:rFonts w:eastAsia="Verdana" w:cs="Verdana" w:ascii="Verdana" w:hAnsi="Verdana"/>
          <w:sz w:val="18"/>
          <w:szCs w:val="18"/>
        </w:rPr>
      </w:r>
    </w:p>
    <w:p>
      <w:pPr>
        <w:pStyle w:val="Normal"/>
        <w:jc w:val="both"/>
        <w:rPr>
          <w:rFonts w:ascii="Verdana" w:hAnsi="Verdana" w:eastAsia="Verdana" w:cs="Verdana"/>
          <w:sz w:val="18"/>
          <w:szCs w:val="18"/>
        </w:rPr>
      </w:pPr>
      <w:r>
        <w:rPr>
          <w:rFonts w:eastAsia="Verdana" w:cs="Verdana" w:ascii="Verdana" w:hAnsi="Verdana"/>
          <w:sz w:val="18"/>
          <w:szCs w:val="18"/>
        </w:rPr>
      </w:r>
    </w:p>
    <w:p>
      <w:pPr>
        <w:pStyle w:val="Normal"/>
        <w:jc w:val="both"/>
        <w:rPr>
          <w:rFonts w:ascii="Verdana" w:hAnsi="Verdana" w:eastAsia="Verdana" w:cs="Verdana"/>
          <w:sz w:val="18"/>
          <w:szCs w:val="18"/>
        </w:rPr>
      </w:pPr>
      <w:r>
        <w:rPr>
          <w:rFonts w:eastAsia="Verdana" w:cs="Verdana" w:ascii="Verdana" w:hAnsi="Verdana"/>
          <w:sz w:val="18"/>
          <w:szCs w:val="18"/>
        </w:rPr>
      </w:r>
    </w:p>
    <w:p>
      <w:pPr>
        <w:pStyle w:val="Normal"/>
        <w:jc w:val="both"/>
        <w:rPr>
          <w:rFonts w:ascii="Verdana" w:hAnsi="Verdana" w:eastAsia="Verdana" w:cs="Verdana"/>
          <w:sz w:val="18"/>
          <w:szCs w:val="18"/>
        </w:rPr>
      </w:pPr>
      <w:r>
        <w:rPr>
          <w:rFonts w:eastAsia="Verdana" w:cs="Verdana" w:ascii="Verdana" w:hAnsi="Verdana"/>
          <w:sz w:val="18"/>
          <w:szCs w:val="18"/>
        </w:rPr>
      </w:r>
    </w:p>
    <w:p>
      <w:pPr>
        <w:pStyle w:val="Normal"/>
        <w:jc w:val="both"/>
        <w:rPr>
          <w:rFonts w:ascii="Verdana" w:hAnsi="Verdana" w:eastAsia="Verdana" w:cs="Verdana"/>
          <w:sz w:val="18"/>
          <w:szCs w:val="18"/>
        </w:rPr>
      </w:pPr>
      <w:r>
        <w:rPr>
          <w:rFonts w:eastAsia="Verdana" w:cs="Verdana" w:ascii="Verdana" w:hAnsi="Verdana"/>
          <w:sz w:val="18"/>
          <w:szCs w:val="18"/>
        </w:rPr>
      </w:r>
    </w:p>
    <w:p>
      <w:pPr>
        <w:pStyle w:val="Normal"/>
        <w:jc w:val="both"/>
        <w:rPr>
          <w:rFonts w:ascii="Verdana" w:hAnsi="Verdana" w:eastAsia="Verdana" w:cs="Verdana"/>
          <w:sz w:val="18"/>
          <w:szCs w:val="18"/>
        </w:rPr>
      </w:pPr>
      <w:r>
        <w:rPr>
          <w:rFonts w:eastAsia="Verdana" w:cs="Verdana" w:ascii="Verdana" w:hAnsi="Verdana"/>
          <w:sz w:val="18"/>
          <w:szCs w:val="18"/>
        </w:rPr>
      </w:r>
    </w:p>
    <w:p>
      <w:pPr>
        <w:pStyle w:val="Normal"/>
        <w:jc w:val="both"/>
        <w:rPr>
          <w:rFonts w:ascii="Verdana" w:hAnsi="Verdana" w:eastAsia="Verdana" w:cs="Verdana"/>
          <w:sz w:val="18"/>
          <w:szCs w:val="18"/>
        </w:rPr>
      </w:pPr>
      <w:r>
        <w:rPr>
          <w:rFonts w:eastAsia="Verdana" w:cs="Verdana" w:ascii="Verdana" w:hAnsi="Verdana"/>
          <w:sz w:val="18"/>
          <w:szCs w:val="18"/>
        </w:rPr>
      </w:r>
    </w:p>
    <w:p>
      <w:pPr>
        <w:pStyle w:val="Normal"/>
        <w:jc w:val="both"/>
        <w:rPr>
          <w:rFonts w:ascii="Verdana" w:hAnsi="Verdana" w:eastAsia="Verdana" w:cs="Verdana"/>
          <w:sz w:val="18"/>
          <w:szCs w:val="18"/>
        </w:rPr>
      </w:pPr>
      <w:r>
        <w:rPr>
          <w:rFonts w:eastAsia="Verdana" w:cs="Verdana" w:ascii="Verdana" w:hAnsi="Verdana"/>
          <w:sz w:val="18"/>
          <w:szCs w:val="18"/>
        </w:rPr>
      </w:r>
    </w:p>
    <w:p>
      <w:pPr>
        <w:pStyle w:val="Normal"/>
        <w:jc w:val="both"/>
        <w:rPr>
          <w:rFonts w:ascii="Verdana" w:hAnsi="Verdana" w:eastAsia="Verdana" w:cs="Verdana"/>
          <w:sz w:val="18"/>
          <w:szCs w:val="18"/>
        </w:rPr>
      </w:pPr>
      <w:r>
        <w:rPr>
          <w:rFonts w:eastAsia="Verdana" w:cs="Verdana" w:ascii="Verdana" w:hAnsi="Verdana"/>
          <w:sz w:val="18"/>
          <w:szCs w:val="18"/>
        </w:rPr>
      </w:r>
    </w:p>
    <w:p>
      <w:pPr>
        <w:pStyle w:val="Normal"/>
        <w:jc w:val="both"/>
        <w:rPr>
          <w:rFonts w:ascii="Verdana" w:hAnsi="Verdana" w:eastAsia="Verdana" w:cs="Verdana"/>
          <w:sz w:val="18"/>
          <w:szCs w:val="18"/>
        </w:rPr>
      </w:pPr>
      <w:r>
        <w:rPr>
          <w:rFonts w:eastAsia="Verdana" w:cs="Verdana" w:ascii="Verdana" w:hAnsi="Verdana"/>
          <w:sz w:val="18"/>
          <w:szCs w:val="18"/>
        </w:rPr>
      </w:r>
    </w:p>
    <w:p>
      <w:pPr>
        <w:pStyle w:val="Normal"/>
        <w:jc w:val="both"/>
        <w:rPr>
          <w:rFonts w:ascii="Verdana" w:hAnsi="Verdana" w:eastAsia="Verdana" w:cs="Verdana"/>
          <w:sz w:val="18"/>
          <w:szCs w:val="18"/>
        </w:rPr>
      </w:pPr>
      <w:r>
        <w:rPr>
          <w:rFonts w:eastAsia="Verdana" w:cs="Verdana" w:ascii="Verdana" w:hAnsi="Verdana"/>
          <w:sz w:val="18"/>
          <w:szCs w:val="18"/>
        </w:rPr>
      </w:r>
    </w:p>
    <w:p>
      <w:pPr>
        <w:pStyle w:val="Normal"/>
        <w:jc w:val="both"/>
        <w:rPr>
          <w:rFonts w:ascii="Verdana" w:hAnsi="Verdana" w:eastAsia="Verdana" w:cs="Verdana"/>
          <w:sz w:val="18"/>
          <w:szCs w:val="18"/>
        </w:rPr>
      </w:pPr>
      <w:r>
        <w:rPr>
          <w:rFonts w:eastAsia="Verdana" w:cs="Verdana" w:ascii="Verdana" w:hAnsi="Verdana"/>
          <w:sz w:val="18"/>
          <w:szCs w:val="18"/>
        </w:rPr>
      </w:r>
    </w:p>
    <w:p>
      <w:pPr>
        <w:pStyle w:val="Normal"/>
        <w:jc w:val="both"/>
        <w:rPr>
          <w:rFonts w:ascii="Verdana" w:hAnsi="Verdana" w:eastAsia="Verdana" w:cs="Verdana"/>
          <w:sz w:val="18"/>
          <w:szCs w:val="18"/>
        </w:rPr>
      </w:pPr>
      <w:r>
        <w:rPr>
          <w:rFonts w:eastAsia="Verdana" w:cs="Verdana" w:ascii="Verdana" w:hAnsi="Verdana"/>
          <w:sz w:val="18"/>
          <w:szCs w:val="18"/>
        </w:rPr>
      </w:r>
    </w:p>
    <w:p>
      <w:pPr>
        <w:pStyle w:val="Normal"/>
        <w:jc w:val="both"/>
        <w:rPr>
          <w:rFonts w:ascii="Verdana" w:hAnsi="Verdana" w:eastAsia="Verdana" w:cs="Verdana"/>
          <w:sz w:val="18"/>
          <w:szCs w:val="18"/>
        </w:rPr>
      </w:pPr>
      <w:r>
        <w:rPr>
          <w:rFonts w:eastAsia="Verdana" w:cs="Verdana" w:ascii="Verdana" w:hAnsi="Verdana"/>
          <w:sz w:val="18"/>
          <w:szCs w:val="18"/>
        </w:rPr>
      </w:r>
    </w:p>
    <w:p>
      <w:pPr>
        <w:pStyle w:val="Normal"/>
        <w:jc w:val="both"/>
        <w:rPr>
          <w:rFonts w:ascii="Verdana" w:hAnsi="Verdana" w:eastAsia="Verdana" w:cs="Verdana"/>
          <w:sz w:val="18"/>
          <w:szCs w:val="18"/>
        </w:rPr>
      </w:pPr>
      <w:r>
        <w:rPr>
          <w:rFonts w:eastAsia="Verdana" w:cs="Verdana" w:ascii="Verdana" w:hAnsi="Verdana"/>
          <w:sz w:val="18"/>
          <w:szCs w:val="18"/>
        </w:rPr>
      </w:r>
    </w:p>
    <w:p>
      <w:pPr>
        <w:pStyle w:val="Normal"/>
        <w:jc w:val="both"/>
        <w:rPr>
          <w:rFonts w:ascii="Verdana" w:hAnsi="Verdana" w:eastAsia="Verdana" w:cs="Verdana"/>
          <w:sz w:val="18"/>
          <w:szCs w:val="18"/>
        </w:rPr>
      </w:pPr>
      <w:r>
        <w:rPr>
          <w:rFonts w:eastAsia="Verdana" w:cs="Verdana" w:ascii="Verdana" w:hAnsi="Verdana"/>
          <w:sz w:val="18"/>
          <w:szCs w:val="18"/>
        </w:rPr>
      </w:r>
    </w:p>
    <w:p>
      <w:pPr>
        <w:pStyle w:val="Normal"/>
        <w:jc w:val="both"/>
        <w:rPr>
          <w:rFonts w:ascii="Verdana" w:hAnsi="Verdana" w:eastAsia="Verdana" w:cs="Verdana"/>
          <w:sz w:val="18"/>
          <w:szCs w:val="18"/>
        </w:rPr>
      </w:pPr>
      <w:r>
        <w:rPr>
          <w:rFonts w:eastAsia="Verdana" w:cs="Verdana" w:ascii="Verdana" w:hAnsi="Verdana"/>
          <w:sz w:val="18"/>
          <w:szCs w:val="18"/>
        </w:rPr>
      </w:r>
    </w:p>
    <w:p>
      <w:pPr>
        <w:pStyle w:val="Normal"/>
        <w:jc w:val="center"/>
        <w:rPr>
          <w:rFonts w:ascii="Verdana" w:hAnsi="Verdana" w:eastAsia="Verdana" w:cs="Verdana"/>
          <w:b/>
          <w:b/>
          <w:sz w:val="18"/>
          <w:szCs w:val="18"/>
        </w:rPr>
      </w:pPr>
      <w:r>
        <w:rPr>
          <w:rFonts w:eastAsia="Verdana" w:cs="Verdana" w:ascii="Verdana" w:hAnsi="Verdana"/>
          <w:b/>
          <w:sz w:val="18"/>
          <w:szCs w:val="18"/>
        </w:rPr>
        <w:t>ANEXO IV - MINUTA DO CONTRATO</w:t>
      </w:r>
    </w:p>
    <w:p>
      <w:pPr>
        <w:pStyle w:val="Normal"/>
        <w:tabs>
          <w:tab w:val="clear" w:pos="720"/>
          <w:tab w:val="left" w:pos="3686" w:leader="none"/>
        </w:tabs>
        <w:ind w:left="4253" w:hanging="0"/>
        <w:jc w:val="both"/>
        <w:rPr>
          <w:rFonts w:ascii="Verdana" w:hAnsi="Verdana" w:eastAsia="Verdana" w:cs="Verdana"/>
          <w:b/>
          <w:b/>
          <w:sz w:val="18"/>
          <w:szCs w:val="18"/>
        </w:rPr>
      </w:pPr>
      <w:r>
        <w:rPr>
          <w:rFonts w:eastAsia="Verdana" w:cs="Verdana" w:ascii="Verdana" w:hAnsi="Verdana"/>
          <w:b/>
          <w:sz w:val="18"/>
          <w:szCs w:val="18"/>
        </w:rPr>
      </w:r>
    </w:p>
    <w:p>
      <w:pPr>
        <w:pStyle w:val="Normal"/>
        <w:tabs>
          <w:tab w:val="clear" w:pos="720"/>
          <w:tab w:val="left" w:pos="3686" w:leader="none"/>
        </w:tabs>
        <w:ind w:left="4253" w:hanging="0"/>
        <w:jc w:val="both"/>
        <w:rPr>
          <w:rFonts w:ascii="Verdana" w:hAnsi="Verdana" w:eastAsia="Verdana" w:cs="Verdana"/>
          <w:b/>
          <w:b/>
          <w:sz w:val="18"/>
          <w:szCs w:val="18"/>
        </w:rPr>
      </w:pPr>
      <w:r>
        <w:rPr>
          <w:rFonts w:eastAsia="Verdana" w:cs="Verdana" w:ascii="Verdana" w:hAnsi="Verdana"/>
          <w:b/>
          <w:sz w:val="18"/>
          <w:szCs w:val="18"/>
        </w:rPr>
      </w:r>
    </w:p>
    <w:p>
      <w:pPr>
        <w:pStyle w:val="Normal"/>
        <w:tabs>
          <w:tab w:val="clear" w:pos="720"/>
          <w:tab w:val="left" w:pos="3686" w:leader="none"/>
        </w:tabs>
        <w:ind w:left="4253" w:hanging="0"/>
        <w:jc w:val="both"/>
        <w:rPr>
          <w:rFonts w:ascii="Verdana" w:hAnsi="Verdana" w:eastAsia="Verdana" w:cs="Verdana"/>
          <w:b/>
          <w:b/>
          <w:sz w:val="18"/>
          <w:szCs w:val="18"/>
        </w:rPr>
      </w:pPr>
      <w:r>
        <w:rPr>
          <w:rFonts w:eastAsia="Verdana" w:cs="Verdana" w:ascii="Verdana" w:hAnsi="Verdana"/>
          <w:b/>
          <w:sz w:val="18"/>
          <w:szCs w:val="18"/>
        </w:rPr>
        <w:t>CONTRATO PARA FORNECIMENTO E INSTALAÇÃO DE PERSIANAS E PELÍCULAS NAS UNIDADES DO PODER JUDICIÁRIO DO ESTADO DO ESPÍRITO SANTO</w:t>
      </w:r>
    </w:p>
    <w:p>
      <w:pPr>
        <w:pStyle w:val="Normal"/>
        <w:tabs>
          <w:tab w:val="clear" w:pos="720"/>
          <w:tab w:val="left" w:pos="3686" w:leader="none"/>
        </w:tabs>
        <w:jc w:val="both"/>
        <w:rPr>
          <w:rFonts w:ascii="Verdana" w:hAnsi="Verdana" w:eastAsia="Verdana" w:cs="Verdana"/>
          <w:b/>
          <w:b/>
          <w:smallCaps/>
          <w:sz w:val="18"/>
          <w:szCs w:val="18"/>
        </w:rPr>
      </w:pPr>
      <w:r>
        <w:rPr>
          <w:rFonts w:eastAsia="Verdana" w:cs="Verdana" w:ascii="Verdana" w:hAnsi="Verdana"/>
          <w:b/>
          <w:smallCaps/>
          <w:sz w:val="18"/>
          <w:szCs w:val="18"/>
        </w:rPr>
      </w:r>
    </w:p>
    <w:p>
      <w:pPr>
        <w:pStyle w:val="Normal"/>
        <w:tabs>
          <w:tab w:val="clear" w:pos="720"/>
          <w:tab w:val="left" w:pos="3686" w:leader="none"/>
        </w:tabs>
        <w:jc w:val="both"/>
        <w:rPr>
          <w:rFonts w:ascii="Calibri" w:hAnsi="Calibri" w:eastAsia="Calibri" w:cs="Calibri"/>
        </w:rPr>
      </w:pPr>
      <w:r>
        <w:rPr>
          <w:rFonts w:eastAsia="Verdana" w:cs="Verdana" w:ascii="Verdana" w:hAnsi="Verdana"/>
          <w:b/>
          <w:smallCaps/>
          <w:sz w:val="18"/>
          <w:szCs w:val="18"/>
        </w:rPr>
        <w:t>CONTRATO N</w:t>
      </w:r>
      <w:r>
        <w:rPr>
          <w:rFonts w:eastAsia="Verdana" w:cs="Verdana" w:ascii="Verdana" w:hAnsi="Verdana"/>
          <w:b/>
          <w:sz w:val="18"/>
          <w:szCs w:val="18"/>
        </w:rPr>
        <w:t>º</w:t>
      </w:r>
      <w:r>
        <w:rPr>
          <w:rFonts w:eastAsia="Verdana" w:cs="Verdana" w:ascii="Verdana" w:hAnsi="Verdana"/>
          <w:b/>
          <w:smallCaps/>
          <w:sz w:val="18"/>
          <w:szCs w:val="18"/>
        </w:rPr>
        <w:t xml:space="preserve"> CF___/2023</w:t>
      </w:r>
    </w:p>
    <w:p>
      <w:pPr>
        <w:pStyle w:val="Normal"/>
        <w:tabs>
          <w:tab w:val="clear" w:pos="720"/>
          <w:tab w:val="left" w:pos="3686" w:leader="none"/>
        </w:tabs>
        <w:jc w:val="both"/>
        <w:rPr>
          <w:rFonts w:ascii="Calibri" w:hAnsi="Calibri" w:eastAsia="Calibri" w:cs="Calibri"/>
        </w:rPr>
      </w:pPr>
      <w:r>
        <w:rPr>
          <w:rFonts w:eastAsia="Verdana" w:cs="Verdana" w:ascii="Verdana" w:hAnsi="Verdana"/>
          <w:b/>
          <w:smallCaps/>
          <w:sz w:val="18"/>
          <w:szCs w:val="18"/>
        </w:rPr>
        <w:t>PROCESSO N</w:t>
      </w:r>
      <w:r>
        <w:rPr>
          <w:rFonts w:eastAsia="Verdana" w:cs="Verdana" w:ascii="Verdana" w:hAnsi="Verdana"/>
          <w:b/>
          <w:sz w:val="18"/>
          <w:szCs w:val="18"/>
        </w:rPr>
        <w:t>º</w:t>
      </w:r>
      <w:r>
        <w:rPr>
          <w:rFonts w:eastAsia="Verdana" w:cs="Verdana" w:ascii="Verdana" w:hAnsi="Verdana"/>
          <w:b/>
          <w:smallCaps/>
          <w:sz w:val="18"/>
          <w:szCs w:val="18"/>
        </w:rPr>
        <w:t xml:space="preserve"> </w:t>
      </w:r>
      <w:r>
        <w:rPr>
          <w:rFonts w:eastAsia="Verdana" w:cs="Verdana" w:ascii="Verdana" w:hAnsi="Verdana"/>
          <w:b/>
          <w:sz w:val="18"/>
          <w:szCs w:val="18"/>
        </w:rPr>
        <w:t>7003860-85.2023.8.08.0000</w:t>
      </w:r>
    </w:p>
    <w:p>
      <w:pPr>
        <w:pStyle w:val="Normal"/>
        <w:tabs>
          <w:tab w:val="clear" w:pos="720"/>
          <w:tab w:val="left" w:pos="3686" w:leader="none"/>
        </w:tabs>
        <w:jc w:val="both"/>
        <w:rPr>
          <w:rFonts w:ascii="Calibri" w:hAnsi="Calibri" w:eastAsia="Calibri" w:cs="Calibri"/>
        </w:rPr>
      </w:pPr>
      <w:r>
        <w:rPr>
          <w:rFonts w:eastAsia="Verdana" w:cs="Verdana" w:ascii="Verdana" w:hAnsi="Verdana"/>
          <w:b/>
          <w:sz w:val="18"/>
          <w:szCs w:val="18"/>
        </w:rPr>
        <w:t>CIC-TCEES Nº ________________</w:t>
      </w:r>
    </w:p>
    <w:p>
      <w:pPr>
        <w:pStyle w:val="Normal"/>
        <w:tabs>
          <w:tab w:val="clear" w:pos="720"/>
          <w:tab w:val="left" w:pos="0" w:leader="none"/>
        </w:tabs>
        <w:rPr>
          <w:rFonts w:ascii="Verdana" w:hAnsi="Verdana" w:eastAsia="Verdana" w:cs="Verdana"/>
          <w:b/>
          <w:b/>
          <w:smallCaps/>
          <w:sz w:val="18"/>
          <w:szCs w:val="18"/>
        </w:rPr>
      </w:pPr>
      <w:r>
        <w:rPr>
          <w:rFonts w:eastAsia="Verdana" w:cs="Verdana" w:ascii="Verdana" w:hAnsi="Verdana"/>
          <w:b/>
          <w:smallCaps/>
          <w:sz w:val="18"/>
          <w:szCs w:val="18"/>
        </w:rPr>
      </w:r>
    </w:p>
    <w:p>
      <w:pPr>
        <w:pStyle w:val="Normal"/>
        <w:widowControl w:val="false"/>
        <w:jc w:val="both"/>
        <w:rPr>
          <w:rFonts w:ascii="Calibri" w:hAnsi="Calibri" w:eastAsia="Calibri" w:cs="Calibri"/>
        </w:rPr>
      </w:pPr>
      <w:r>
        <w:rPr>
          <w:rFonts w:eastAsia="Verdana" w:cs="Verdana" w:ascii="Verdana" w:hAnsi="Verdana"/>
          <w:b/>
          <w:sz w:val="18"/>
          <w:szCs w:val="18"/>
        </w:rPr>
        <w:t>CONTRATANTE: O ESTADO DO ESPÍRITO SANTO</w:t>
      </w:r>
      <w:r>
        <w:rPr>
          <w:rFonts w:eastAsia="Verdana" w:cs="Verdana" w:ascii="Verdana" w:hAnsi="Verdana"/>
          <w:sz w:val="18"/>
          <w:szCs w:val="18"/>
        </w:rPr>
        <w:t>, pessoa jurídica de direito público interno, por intermédio do</w:t>
      </w:r>
      <w:r>
        <w:rPr>
          <w:rFonts w:eastAsia="Verdana" w:cs="Verdana" w:ascii="Verdana" w:hAnsi="Verdana"/>
          <w:b/>
          <w:sz w:val="18"/>
          <w:szCs w:val="18"/>
        </w:rPr>
        <w:t xml:space="preserve"> PODER JUDICIÁRIO DO ESTADO DO ESPÍRITO SANTO</w:t>
      </w:r>
      <w:r>
        <w:rPr>
          <w:rFonts w:eastAsia="Verdana" w:cs="Verdana" w:ascii="Verdana" w:hAnsi="Verdana"/>
          <w:sz w:val="18"/>
          <w:szCs w:val="18"/>
        </w:rPr>
        <w:t xml:space="preserve">, com sede na Rua Des. Homero Mafra, nº 60, Enseada do Suá, Vitória/ES, CNPJ nº 27.476.100/0001-45, neste ato representado, na forma da Emenda Regimental nº 004/2015 de 09 de dezembro de 2015, do Presidente do E. Tribunal de Justiça do Estado do Espírito Santo, por seu Secretário Geral, </w:t>
      </w:r>
      <w:r>
        <w:rPr>
          <w:rFonts w:eastAsia="Verdana" w:cs="Verdana" w:ascii="Verdana" w:hAnsi="Verdana"/>
          <w:b/>
          <w:sz w:val="18"/>
          <w:szCs w:val="18"/>
        </w:rPr>
        <w:t>MARCELO TAVARES DE ALBUQUERQUE</w:t>
      </w:r>
      <w:r>
        <w:rPr>
          <w:rFonts w:eastAsia="Verdana" w:cs="Verdana" w:ascii="Verdana" w:hAnsi="Verdana"/>
          <w:sz w:val="18"/>
          <w:szCs w:val="18"/>
        </w:rPr>
        <w:t>, Matrícula Funcional nº ____________.</w:t>
      </w:r>
    </w:p>
    <w:p>
      <w:pPr>
        <w:pStyle w:val="Normal"/>
        <w:tabs>
          <w:tab w:val="clear" w:pos="720"/>
          <w:tab w:val="left" w:pos="0" w:leader="none"/>
        </w:tabs>
        <w:jc w:val="both"/>
        <w:rPr>
          <w:rFonts w:ascii="Verdana" w:hAnsi="Verdana" w:eastAsia="Verdana" w:cs="Verdana"/>
          <w:smallCaps/>
          <w:sz w:val="18"/>
          <w:szCs w:val="18"/>
        </w:rPr>
      </w:pPr>
      <w:r>
        <w:rPr>
          <w:rFonts w:eastAsia="Verdana" w:cs="Verdana" w:ascii="Verdana" w:hAnsi="Verdana"/>
          <w:smallCaps/>
          <w:sz w:val="18"/>
          <w:szCs w:val="18"/>
        </w:rPr>
      </w:r>
    </w:p>
    <w:p>
      <w:pPr>
        <w:pStyle w:val="Normal"/>
        <w:tabs>
          <w:tab w:val="clear" w:pos="720"/>
          <w:tab w:val="left" w:pos="0" w:leader="none"/>
        </w:tabs>
        <w:jc w:val="both"/>
        <w:rPr>
          <w:rFonts w:ascii="Calibri" w:hAnsi="Calibri" w:eastAsia="Calibri" w:cs="Calibri"/>
        </w:rPr>
      </w:pPr>
      <w:r>
        <w:rPr>
          <w:rFonts w:eastAsia="Verdana" w:cs="Verdana" w:ascii="Verdana" w:hAnsi="Verdana"/>
          <w:b/>
          <w:smallCaps/>
          <w:sz w:val="18"/>
          <w:szCs w:val="18"/>
        </w:rPr>
        <w:t>CONTRATADA:</w:t>
      </w:r>
      <w:r>
        <w:rPr>
          <w:rFonts w:eastAsia="Verdana" w:cs="Verdana" w:ascii="Verdana" w:hAnsi="Verdana"/>
          <w:sz w:val="18"/>
          <w:szCs w:val="18"/>
        </w:rPr>
        <w:t>________________, CNPJ nº____________, estabelecida na Rua ______________, nº ___, Bairro____________, Cidade__________, Estado___________, que apresentou os documentos exigidos por lei, neste ato representada por seu sócio-_________, Sr(a) ________________(nome e função, RG e CPF do Contratado).</w:t>
      </w:r>
    </w:p>
    <w:p>
      <w:pPr>
        <w:pStyle w:val="Normal"/>
        <w:tabs>
          <w:tab w:val="clear" w:pos="720"/>
          <w:tab w:val="left" w:pos="0" w:leader="none"/>
        </w:tabs>
        <w:ind w:firstLine="708"/>
        <w:jc w:val="both"/>
        <w:rPr>
          <w:rFonts w:ascii="Verdana" w:hAnsi="Verdana" w:eastAsia="Verdana" w:cs="Verdana"/>
          <w:smallCaps/>
          <w:sz w:val="18"/>
          <w:szCs w:val="18"/>
        </w:rPr>
      </w:pPr>
      <w:r>
        <w:rPr>
          <w:rFonts w:eastAsia="Verdana" w:cs="Verdana" w:ascii="Verdana" w:hAnsi="Verdana"/>
          <w:smallCaps/>
          <w:sz w:val="18"/>
          <w:szCs w:val="18"/>
        </w:rPr>
      </w:r>
    </w:p>
    <w:p>
      <w:pPr>
        <w:pStyle w:val="Normal"/>
        <w:tabs>
          <w:tab w:val="clear" w:pos="720"/>
          <w:tab w:val="left" w:pos="0" w:leader="none"/>
        </w:tabs>
        <w:jc w:val="both"/>
        <w:rPr>
          <w:rFonts w:ascii="Calibri" w:hAnsi="Calibri" w:eastAsia="Calibri" w:cs="Calibri"/>
        </w:rPr>
      </w:pPr>
      <w:r>
        <w:rPr>
          <w:rFonts w:eastAsia="Verdana" w:cs="Verdana" w:ascii="Verdana" w:hAnsi="Verdana"/>
          <w:sz w:val="18"/>
          <w:szCs w:val="18"/>
        </w:rPr>
        <w:t xml:space="preserve">Resolvem celebrar o presente contrato, nos termos da Lei Federal nº 14.133, de 01 de abril de 2021, e demais legislações aplicáveis, de acordo com os termos do processo </w:t>
      </w:r>
      <w:r>
        <w:rPr>
          <w:rFonts w:eastAsia="Verdana" w:cs="Verdana" w:ascii="Verdana" w:hAnsi="Verdana"/>
          <w:b/>
          <w:sz w:val="18"/>
          <w:szCs w:val="18"/>
        </w:rPr>
        <w:t xml:space="preserve">7003860-85.2023.8.08.0000 </w:t>
      </w:r>
      <w:r>
        <w:rPr>
          <w:rFonts w:eastAsia="Verdana" w:cs="Verdana" w:ascii="Verdana" w:hAnsi="Verdana"/>
          <w:sz w:val="18"/>
          <w:szCs w:val="18"/>
        </w:rPr>
        <w:t xml:space="preserve">e da </w:t>
      </w:r>
      <w:r>
        <w:rPr>
          <w:rFonts w:eastAsia="Verdana" w:cs="Verdana" w:ascii="Verdana" w:hAnsi="Verdana"/>
          <w:b/>
          <w:sz w:val="18"/>
          <w:szCs w:val="18"/>
        </w:rPr>
        <w:t xml:space="preserve">Ata de Registro de Preços ARP__/2023, celebrada em __/__/2023, do Pregão Nº PE___/2023, </w:t>
      </w:r>
      <w:r>
        <w:rPr>
          <w:rFonts w:eastAsia="Verdana" w:cs="Verdana" w:ascii="Verdana" w:hAnsi="Verdana"/>
          <w:sz w:val="18"/>
          <w:szCs w:val="18"/>
        </w:rPr>
        <w:t>mediante as seguintes cláusulas a seguir enunciadas.</w:t>
      </w:r>
    </w:p>
    <w:p>
      <w:pPr>
        <w:pStyle w:val="Normal"/>
        <w:tabs>
          <w:tab w:val="clear" w:pos="720"/>
          <w:tab w:val="left" w:pos="0" w:leader="none"/>
        </w:tabs>
        <w:jc w:val="both"/>
        <w:rPr>
          <w:rFonts w:ascii="Verdana" w:hAnsi="Verdana" w:eastAsia="Verdana" w:cs="Verdana"/>
          <w:sz w:val="18"/>
          <w:szCs w:val="18"/>
        </w:rPr>
      </w:pPr>
      <w:r>
        <w:rPr>
          <w:rFonts w:eastAsia="Verdana" w:cs="Verdana" w:ascii="Verdana" w:hAnsi="Verdana"/>
          <w:sz w:val="18"/>
          <w:szCs w:val="18"/>
        </w:rPr>
      </w:r>
    </w:p>
    <w:p>
      <w:pPr>
        <w:pStyle w:val="Normal"/>
        <w:tabs>
          <w:tab w:val="clear" w:pos="720"/>
          <w:tab w:val="left" w:pos="0" w:leader="none"/>
        </w:tabs>
        <w:rPr>
          <w:rFonts w:ascii="Verdana" w:hAnsi="Verdana" w:eastAsia="Verdana" w:cs="Verdana"/>
          <w:sz w:val="18"/>
          <w:szCs w:val="18"/>
        </w:rPr>
      </w:pPr>
      <w:r>
        <w:rPr>
          <w:rFonts w:eastAsia="Verdana" w:cs="Verdana" w:ascii="Verdana" w:hAnsi="Verdana"/>
          <w:sz w:val="18"/>
          <w:szCs w:val="18"/>
        </w:rPr>
      </w:r>
    </w:p>
    <w:p>
      <w:pPr>
        <w:pStyle w:val="Normal"/>
        <w:shd w:val="clear" w:color="auto" w:fill="BFBFBF"/>
        <w:jc w:val="center"/>
        <w:rPr>
          <w:rFonts w:ascii="Verdana" w:hAnsi="Verdana" w:eastAsia="Verdana" w:cs="Verdana"/>
          <w:b/>
          <w:b/>
          <w:sz w:val="18"/>
          <w:szCs w:val="18"/>
        </w:rPr>
      </w:pPr>
      <w:r>
        <w:rPr>
          <w:rFonts w:eastAsia="Verdana" w:cs="Verdana" w:ascii="Verdana" w:hAnsi="Verdana"/>
          <w:b/>
          <w:sz w:val="18"/>
          <w:szCs w:val="18"/>
        </w:rPr>
        <w:t>CLÁUSULA PRIMEIRA - DO OBJETO</w:t>
      </w:r>
    </w:p>
    <w:p>
      <w:pPr>
        <w:pStyle w:val="Normal"/>
        <w:jc w:val="center"/>
        <w:rPr>
          <w:rFonts w:ascii="Verdana" w:hAnsi="Verdana" w:eastAsia="Verdana" w:cs="Verdana"/>
          <w:b/>
          <w:b/>
          <w:sz w:val="18"/>
          <w:szCs w:val="18"/>
        </w:rPr>
      </w:pPr>
      <w:r>
        <w:rPr>
          <w:rFonts w:eastAsia="Verdana" w:cs="Verdana" w:ascii="Verdana" w:hAnsi="Verdana"/>
          <w:b/>
          <w:sz w:val="18"/>
          <w:szCs w:val="18"/>
        </w:rPr>
      </w:r>
    </w:p>
    <w:p>
      <w:pPr>
        <w:pStyle w:val="Normal"/>
        <w:widowControl w:val="false"/>
        <w:shd w:val="clear" w:color="auto" w:fill="FFFFFF"/>
        <w:jc w:val="both"/>
        <w:rPr>
          <w:rFonts w:ascii="Calibri" w:hAnsi="Calibri" w:eastAsia="Calibri" w:cs="Calibri"/>
        </w:rPr>
      </w:pPr>
      <w:r>
        <w:rPr>
          <w:rFonts w:eastAsia="Verdana" w:cs="Verdana" w:ascii="Verdana" w:hAnsi="Verdana"/>
          <w:b/>
          <w:sz w:val="18"/>
          <w:szCs w:val="18"/>
        </w:rPr>
        <w:t>1.1 –</w:t>
      </w:r>
      <w:r>
        <w:rPr>
          <w:rFonts w:eastAsia="Verdana" w:cs="Verdana" w:ascii="Verdana" w:hAnsi="Verdana"/>
          <w:sz w:val="18"/>
          <w:szCs w:val="18"/>
        </w:rPr>
        <w:t xml:space="preserve"> Este contrato tem por objeto o fornecimento e instalação de </w:t>
      </w:r>
      <w:r>
        <w:rPr>
          <w:rFonts w:eastAsia="Verdana" w:cs="Verdana" w:ascii="Verdana" w:hAnsi="Verdana"/>
          <w:b/>
          <w:sz w:val="18"/>
          <w:szCs w:val="18"/>
        </w:rPr>
        <w:t xml:space="preserve">persianas e películas </w:t>
      </w:r>
      <w:r>
        <w:rPr>
          <w:rFonts w:eastAsia="Verdana" w:cs="Verdana" w:ascii="Verdana" w:hAnsi="Verdana"/>
          <w:b/>
          <w:i/>
          <w:color w:val="FF0000"/>
          <w:sz w:val="18"/>
          <w:szCs w:val="18"/>
        </w:rPr>
        <w:t>(*Adequar conforme agrupamento)</w:t>
      </w:r>
      <w:r>
        <w:rPr>
          <w:rFonts w:eastAsia="Verdana" w:cs="Verdana" w:ascii="Verdana" w:hAnsi="Verdana"/>
          <w:b/>
          <w:sz w:val="18"/>
          <w:szCs w:val="18"/>
        </w:rPr>
        <w:t xml:space="preserve"> </w:t>
      </w:r>
      <w:r>
        <w:rPr>
          <w:rFonts w:eastAsia="Verdana" w:cs="Verdana" w:ascii="Verdana" w:hAnsi="Verdana"/>
          <w:sz w:val="18"/>
          <w:szCs w:val="18"/>
        </w:rPr>
        <w:t>para atender as demandas do Poder Judiciário do Estado do Espírito Santo (PJES)</w:t>
      </w:r>
      <w:r>
        <w:rPr>
          <w:rFonts w:eastAsia="Verdana" w:cs="Verdana" w:ascii="Verdana" w:hAnsi="Verdana"/>
          <w:b/>
          <w:sz w:val="18"/>
          <w:szCs w:val="18"/>
        </w:rPr>
        <w:t>,</w:t>
      </w:r>
      <w:r>
        <w:rPr>
          <w:rFonts w:eastAsia="Verdana" w:cs="Verdana" w:ascii="Verdana" w:hAnsi="Verdana"/>
          <w:sz w:val="18"/>
          <w:szCs w:val="18"/>
        </w:rPr>
        <w:t xml:space="preserve"> conforme </w:t>
      </w:r>
      <w:r>
        <w:rPr>
          <w:rFonts w:eastAsia="Verdana" w:cs="Verdana" w:ascii="Verdana" w:hAnsi="Verdana"/>
          <w:b/>
          <w:sz w:val="18"/>
          <w:szCs w:val="18"/>
        </w:rPr>
        <w:t>Agrupamento de Requisições nº __/2023.</w:t>
      </w:r>
    </w:p>
    <w:p>
      <w:pPr>
        <w:pStyle w:val="Normal"/>
        <w:widowControl w:val="false"/>
        <w:shd w:val="clear" w:color="auto" w:fill="FFFFFF"/>
        <w:jc w:val="both"/>
        <w:rPr>
          <w:rFonts w:ascii="Verdana" w:hAnsi="Verdana" w:eastAsia="Verdana" w:cs="Verdana"/>
          <w:b/>
          <w:b/>
          <w:sz w:val="18"/>
          <w:szCs w:val="18"/>
        </w:rPr>
      </w:pPr>
      <w:r>
        <w:rPr>
          <w:rFonts w:eastAsia="Verdana" w:cs="Verdana" w:ascii="Verdana" w:hAnsi="Verdana"/>
          <w:b/>
          <w:sz w:val="18"/>
          <w:szCs w:val="18"/>
        </w:rPr>
      </w:r>
    </w:p>
    <w:p>
      <w:pPr>
        <w:pStyle w:val="Normal"/>
        <w:widowControl w:val="false"/>
        <w:shd w:val="clear" w:color="auto" w:fill="FFFFFF"/>
        <w:jc w:val="both"/>
        <w:rPr>
          <w:rFonts w:ascii="Calibri" w:hAnsi="Calibri" w:eastAsia="Calibri" w:cs="Calibri"/>
        </w:rPr>
      </w:pPr>
      <w:r>
        <w:rPr>
          <w:rFonts w:eastAsia="Verdana" w:cs="Verdana" w:ascii="Verdana" w:hAnsi="Verdana"/>
          <w:b/>
          <w:sz w:val="18"/>
          <w:szCs w:val="18"/>
        </w:rPr>
        <w:t xml:space="preserve">1.2 - </w:t>
      </w:r>
      <w:r>
        <w:rPr>
          <w:rFonts w:eastAsia="Verdana" w:cs="Verdana" w:ascii="Verdana" w:hAnsi="Verdana"/>
          <w:sz w:val="18"/>
          <w:szCs w:val="18"/>
        </w:rPr>
        <w:t>Vinculam esta contratação, independentemente de transcrição:</w:t>
      </w:r>
    </w:p>
    <w:p>
      <w:pPr>
        <w:pStyle w:val="Normal"/>
        <w:widowControl w:val="false"/>
        <w:shd w:val="clear" w:color="auto" w:fill="FFFFFF"/>
        <w:jc w:val="both"/>
        <w:rPr>
          <w:rFonts w:ascii="Verdana" w:hAnsi="Verdana" w:eastAsia="Verdana" w:cs="Verdana"/>
          <w:sz w:val="18"/>
          <w:szCs w:val="18"/>
        </w:rPr>
      </w:pPr>
      <w:r>
        <w:rPr>
          <w:rFonts w:eastAsia="Verdana" w:cs="Verdana" w:ascii="Verdana" w:hAnsi="Verdana"/>
          <w:sz w:val="18"/>
          <w:szCs w:val="18"/>
        </w:rPr>
      </w:r>
    </w:p>
    <w:p>
      <w:pPr>
        <w:pStyle w:val="Normal"/>
        <w:widowControl w:val="false"/>
        <w:shd w:val="clear" w:color="auto" w:fill="FFFFFF"/>
        <w:jc w:val="both"/>
        <w:rPr>
          <w:rFonts w:ascii="Verdana" w:hAnsi="Verdana" w:eastAsia="Verdana" w:cs="Verdana"/>
          <w:sz w:val="18"/>
          <w:szCs w:val="18"/>
        </w:rPr>
      </w:pPr>
      <w:r>
        <w:rPr>
          <w:rFonts w:eastAsia="Verdana" w:cs="Verdana" w:ascii="Verdana" w:hAnsi="Verdana"/>
          <w:b/>
          <w:sz w:val="18"/>
          <w:szCs w:val="18"/>
        </w:rPr>
        <w:t>1.2.1 -</w:t>
      </w:r>
      <w:r>
        <w:rPr>
          <w:rFonts w:eastAsia="Verdana" w:cs="Verdana" w:ascii="Verdana" w:hAnsi="Verdana"/>
          <w:sz w:val="18"/>
          <w:szCs w:val="18"/>
        </w:rPr>
        <w:t xml:space="preserve"> O Termo de Referência - Anexo I;</w:t>
      </w:r>
    </w:p>
    <w:p>
      <w:pPr>
        <w:pStyle w:val="Normal"/>
        <w:widowControl w:val="false"/>
        <w:shd w:val="clear" w:color="auto" w:fill="FFFFFF"/>
        <w:jc w:val="both"/>
        <w:rPr>
          <w:rFonts w:ascii="Verdana" w:hAnsi="Verdana" w:eastAsia="Verdana" w:cs="Verdana"/>
          <w:sz w:val="18"/>
          <w:szCs w:val="18"/>
        </w:rPr>
      </w:pPr>
      <w:r>
        <w:rPr>
          <w:rFonts w:eastAsia="Verdana" w:cs="Verdana" w:ascii="Verdana" w:hAnsi="Verdana"/>
          <w:b/>
          <w:sz w:val="18"/>
          <w:szCs w:val="18"/>
        </w:rPr>
        <w:t>1.2.2 -</w:t>
      </w:r>
      <w:r>
        <w:rPr>
          <w:rFonts w:eastAsia="Verdana" w:cs="Verdana" w:ascii="Verdana" w:hAnsi="Verdana"/>
          <w:sz w:val="18"/>
          <w:szCs w:val="18"/>
        </w:rPr>
        <w:t xml:space="preserve"> O Edital de Licitação;</w:t>
      </w:r>
    </w:p>
    <w:p>
      <w:pPr>
        <w:pStyle w:val="Normal"/>
        <w:widowControl w:val="false"/>
        <w:shd w:val="clear" w:color="auto" w:fill="FFFFFF"/>
        <w:jc w:val="both"/>
        <w:rPr>
          <w:rFonts w:ascii="Calibri" w:hAnsi="Calibri" w:eastAsia="Calibri" w:cs="Calibri"/>
        </w:rPr>
      </w:pPr>
      <w:r>
        <w:rPr>
          <w:rFonts w:eastAsia="Verdana" w:cs="Verdana" w:ascii="Verdana" w:hAnsi="Verdana"/>
          <w:b/>
          <w:sz w:val="18"/>
          <w:szCs w:val="18"/>
        </w:rPr>
        <w:t>1.2.3 -</w:t>
      </w:r>
      <w:r>
        <w:rPr>
          <w:rFonts w:eastAsia="Verdana" w:cs="Verdana" w:ascii="Verdana" w:hAnsi="Verdana"/>
          <w:sz w:val="18"/>
          <w:szCs w:val="18"/>
        </w:rPr>
        <w:t xml:space="preserve"> A Proposta da contratada, firmada em ___/__/2023;</w:t>
      </w:r>
    </w:p>
    <w:p>
      <w:pPr>
        <w:pStyle w:val="Normal"/>
        <w:widowControl w:val="false"/>
        <w:shd w:val="clear" w:color="auto" w:fill="FFFFFF"/>
        <w:jc w:val="both"/>
        <w:rPr>
          <w:rFonts w:ascii="Calibri" w:hAnsi="Calibri" w:eastAsia="Calibri" w:cs="Calibri"/>
        </w:rPr>
      </w:pPr>
      <w:r>
        <w:rPr>
          <w:rFonts w:eastAsia="Verdana" w:cs="Verdana" w:ascii="Verdana" w:hAnsi="Verdana"/>
          <w:b/>
          <w:sz w:val="18"/>
          <w:szCs w:val="18"/>
        </w:rPr>
        <w:t>1.2.4 -</w:t>
      </w:r>
      <w:r>
        <w:rPr>
          <w:rFonts w:eastAsia="Verdana" w:cs="Verdana" w:ascii="Verdana" w:hAnsi="Verdana"/>
          <w:sz w:val="18"/>
          <w:szCs w:val="18"/>
        </w:rPr>
        <w:t xml:space="preserve"> A Ata de Registro de Preços Nº ARP___/2023, celebrada em __/__/2023;</w:t>
      </w:r>
    </w:p>
    <w:p>
      <w:pPr>
        <w:pStyle w:val="Normal"/>
        <w:widowControl w:val="false"/>
        <w:shd w:val="clear" w:color="auto" w:fill="FFFFFF"/>
        <w:jc w:val="both"/>
        <w:rPr>
          <w:rFonts w:ascii="Verdana" w:hAnsi="Verdana" w:eastAsia="Verdana" w:cs="Verdana"/>
          <w:b/>
          <w:b/>
          <w:sz w:val="18"/>
          <w:szCs w:val="18"/>
        </w:rPr>
      </w:pPr>
      <w:r>
        <w:rPr>
          <w:rFonts w:eastAsia="Verdana" w:cs="Verdana" w:ascii="Verdana" w:hAnsi="Verdana"/>
          <w:b/>
          <w:sz w:val="18"/>
          <w:szCs w:val="18"/>
        </w:rPr>
      </w:r>
    </w:p>
    <w:p>
      <w:pPr>
        <w:pStyle w:val="Normal"/>
        <w:shd w:val="clear" w:color="auto" w:fill="BFBFBF"/>
        <w:jc w:val="center"/>
        <w:rPr>
          <w:rFonts w:ascii="Calibri" w:hAnsi="Calibri" w:eastAsia="Calibri" w:cs="Calibri"/>
        </w:rPr>
      </w:pPr>
      <w:r>
        <w:rPr>
          <w:rFonts w:eastAsia="Verdana" w:cs="Verdana" w:ascii="Verdana" w:hAnsi="Verdana"/>
          <w:b/>
          <w:sz w:val="18"/>
          <w:szCs w:val="18"/>
        </w:rPr>
        <w:t>CLÁUSULA SEGUNDA – DOS MODELOS DE EXECUÇÃO E GESTÃO CONTRATUAIS</w:t>
      </w:r>
    </w:p>
    <w:p>
      <w:pPr>
        <w:pStyle w:val="Normal"/>
        <w:jc w:val="both"/>
        <w:rPr>
          <w:rFonts w:ascii="Verdana" w:hAnsi="Verdana" w:eastAsia="Verdana" w:cs="Verdana"/>
          <w:b/>
          <w:b/>
          <w:sz w:val="18"/>
          <w:szCs w:val="18"/>
        </w:rPr>
      </w:pPr>
      <w:r>
        <w:rPr>
          <w:rFonts w:eastAsia="Verdana" w:cs="Verdana" w:ascii="Verdana" w:hAnsi="Verdana"/>
          <w:b/>
          <w:sz w:val="18"/>
          <w:szCs w:val="18"/>
        </w:rPr>
      </w:r>
    </w:p>
    <w:p>
      <w:pPr>
        <w:pStyle w:val="Normal"/>
        <w:jc w:val="both"/>
        <w:rPr>
          <w:rFonts w:ascii="Calibri" w:hAnsi="Calibri" w:eastAsia="Calibri" w:cs="Calibri"/>
        </w:rPr>
      </w:pPr>
      <w:r>
        <w:rPr>
          <w:rFonts w:eastAsia="Verdana" w:cs="Verdana" w:ascii="Verdana" w:hAnsi="Verdana"/>
          <w:b/>
          <w:sz w:val="18"/>
          <w:szCs w:val="18"/>
        </w:rPr>
        <w:t>2.1 -</w:t>
      </w:r>
      <w:r>
        <w:rPr>
          <w:rFonts w:eastAsia="Verdana" w:cs="Verdana" w:ascii="Verdana" w:hAnsi="Verdana"/>
          <w:sz w:val="18"/>
          <w:szCs w:val="18"/>
        </w:rPr>
        <w:t xml:space="preserve"> O regime de execução contratual, os modelos de gestão e de execução, assim como os prazos e condições de conclusão, entrega, observação e recebimento do objeto constam no Termo de Referência - Anexo I do Edital.</w:t>
      </w:r>
    </w:p>
    <w:p>
      <w:pPr>
        <w:pStyle w:val="Normal"/>
        <w:jc w:val="both"/>
        <w:rPr>
          <w:rFonts w:ascii="Verdana" w:hAnsi="Verdana" w:eastAsia="Verdana" w:cs="Verdana"/>
          <w:sz w:val="18"/>
          <w:szCs w:val="18"/>
        </w:rPr>
      </w:pPr>
      <w:r>
        <w:rPr>
          <w:rFonts w:eastAsia="Verdana" w:cs="Verdana" w:ascii="Verdana" w:hAnsi="Verdana"/>
          <w:sz w:val="18"/>
          <w:szCs w:val="18"/>
        </w:rPr>
      </w:r>
    </w:p>
    <w:p>
      <w:pPr>
        <w:pStyle w:val="Normal"/>
        <w:shd w:val="clear" w:color="auto" w:fill="BFBFBF"/>
        <w:jc w:val="center"/>
        <w:rPr>
          <w:rFonts w:ascii="Calibri" w:hAnsi="Calibri" w:eastAsia="Calibri" w:cs="Calibri"/>
        </w:rPr>
      </w:pPr>
      <w:r>
        <w:rPr>
          <w:rFonts w:eastAsia="Verdana" w:cs="Verdana" w:ascii="Verdana" w:hAnsi="Verdana"/>
          <w:b/>
          <w:sz w:val="18"/>
          <w:szCs w:val="18"/>
        </w:rPr>
        <w:t>CLÁUSULA TERCEIRA - DAS OBRIGAÇÕES DO CONTRATANTE</w:t>
      </w:r>
    </w:p>
    <w:p>
      <w:pPr>
        <w:pStyle w:val="Normal"/>
        <w:jc w:val="center"/>
        <w:rPr>
          <w:rFonts w:ascii="Verdana" w:hAnsi="Verdana" w:eastAsia="Verdana" w:cs="Verdana"/>
          <w:b/>
          <w:b/>
          <w:sz w:val="18"/>
          <w:szCs w:val="18"/>
        </w:rPr>
      </w:pPr>
      <w:r>
        <w:rPr>
          <w:rFonts w:eastAsia="Verdana" w:cs="Verdana" w:ascii="Verdana" w:hAnsi="Verdana"/>
          <w:b/>
          <w:sz w:val="18"/>
          <w:szCs w:val="18"/>
        </w:rPr>
      </w:r>
    </w:p>
    <w:p>
      <w:pPr>
        <w:pStyle w:val="Normal"/>
        <w:widowControl w:val="false"/>
        <w:tabs>
          <w:tab w:val="clear" w:pos="720"/>
          <w:tab w:val="left" w:pos="284" w:leader="none"/>
        </w:tabs>
        <w:jc w:val="both"/>
        <w:rPr>
          <w:rFonts w:ascii="Calibri" w:hAnsi="Calibri" w:eastAsia="Calibri" w:cs="Calibri"/>
        </w:rPr>
      </w:pPr>
      <w:r>
        <w:rPr>
          <w:rFonts w:eastAsia="Verdana" w:cs="Verdana" w:ascii="Verdana" w:hAnsi="Verdana"/>
          <w:b/>
          <w:sz w:val="18"/>
          <w:szCs w:val="18"/>
        </w:rPr>
        <w:t>3.1 -</w:t>
      </w:r>
      <w:r>
        <w:rPr>
          <w:rFonts w:eastAsia="Verdana" w:cs="Verdana" w:ascii="Verdana" w:hAnsi="Verdana"/>
          <w:sz w:val="18"/>
          <w:szCs w:val="18"/>
        </w:rPr>
        <w:t xml:space="preserve"> O </w:t>
      </w:r>
      <w:r>
        <w:rPr>
          <w:rFonts w:eastAsia="Verdana" w:cs="Verdana" w:ascii="Verdana" w:hAnsi="Verdana"/>
          <w:b/>
          <w:sz w:val="18"/>
          <w:szCs w:val="18"/>
        </w:rPr>
        <w:t>CONTRATANTE</w:t>
      </w:r>
      <w:r>
        <w:rPr>
          <w:rFonts w:eastAsia="Verdana" w:cs="Verdana" w:ascii="Verdana" w:hAnsi="Verdana"/>
          <w:sz w:val="18"/>
          <w:szCs w:val="18"/>
        </w:rPr>
        <w:t>, através da Secretaria de Engenharia, Gestão Predial e Manutenção de Equipamentos, obriga-se a cumprir fielmente o estipulado em seu Termo de Referência e em especial:</w:t>
      </w:r>
    </w:p>
    <w:p>
      <w:pPr>
        <w:pStyle w:val="Normal"/>
        <w:widowControl w:val="false"/>
        <w:tabs>
          <w:tab w:val="clear" w:pos="720"/>
          <w:tab w:val="left" w:pos="284" w:leader="none"/>
        </w:tabs>
        <w:ind w:left="284" w:hanging="0"/>
        <w:jc w:val="both"/>
        <w:rPr>
          <w:rFonts w:ascii="Verdana" w:hAnsi="Verdana" w:eastAsia="Verdana" w:cs="Verdana"/>
          <w:sz w:val="18"/>
          <w:szCs w:val="18"/>
        </w:rPr>
      </w:pPr>
      <w:r>
        <w:rPr>
          <w:rFonts w:eastAsia="Verdana" w:cs="Verdana" w:ascii="Verdana" w:hAnsi="Verdana"/>
          <w:sz w:val="18"/>
          <w:szCs w:val="18"/>
        </w:rPr>
      </w:r>
    </w:p>
    <w:p>
      <w:pPr>
        <w:pStyle w:val="NormalWeb"/>
        <w:spacing w:beforeAutospacing="0" w:before="0" w:afterAutospacing="0" w:after="0"/>
        <w:jc w:val="both"/>
        <w:rPr>
          <w:rFonts w:ascii="Verdana" w:hAnsi="Verdana"/>
          <w:color w:val="000000"/>
          <w:sz w:val="18"/>
          <w:szCs w:val="18"/>
        </w:rPr>
      </w:pPr>
      <w:r>
        <w:rPr>
          <w:rFonts w:eastAsia="Verdana" w:cs="Verdana" w:ascii="Verdana" w:hAnsi="Verdana"/>
          <w:b/>
          <w:sz w:val="18"/>
          <w:szCs w:val="18"/>
        </w:rPr>
        <w:t>i -</w:t>
      </w:r>
      <w:r>
        <w:rPr>
          <w:rFonts w:eastAsia="Verdana" w:cs="Verdana" w:ascii="Verdana" w:hAnsi="Verdana"/>
          <w:sz w:val="18"/>
          <w:szCs w:val="18"/>
        </w:rPr>
        <w:t xml:space="preserve"> </w:t>
      </w:r>
      <w:r>
        <w:rPr>
          <w:rFonts w:ascii="Verdana" w:hAnsi="Verdana"/>
          <w:color w:val="000000"/>
          <w:sz w:val="18"/>
          <w:szCs w:val="18"/>
        </w:rPr>
        <w:t>Acompanhar a entrega dos materiais, observando a sua conformidade aos termos contratuais;</w:t>
      </w:r>
    </w:p>
    <w:p>
      <w:pPr>
        <w:pStyle w:val="NormalWeb"/>
        <w:spacing w:before="280" w:after="280"/>
        <w:jc w:val="both"/>
        <w:rPr>
          <w:rFonts w:ascii="Verdana" w:hAnsi="Verdana"/>
          <w:color w:val="000000"/>
          <w:sz w:val="18"/>
          <w:szCs w:val="18"/>
        </w:rPr>
      </w:pPr>
      <w:r>
        <w:rPr>
          <w:rFonts w:ascii="Verdana" w:hAnsi="Verdana"/>
          <w:b/>
          <w:bCs/>
          <w:color w:val="000000"/>
          <w:sz w:val="18"/>
          <w:szCs w:val="18"/>
        </w:rPr>
        <w:t>ii.</w:t>
      </w:r>
      <w:r>
        <w:rPr>
          <w:rFonts w:ascii="Verdana" w:hAnsi="Verdana"/>
          <w:color w:val="000000"/>
          <w:sz w:val="18"/>
          <w:szCs w:val="18"/>
        </w:rPr>
        <w:t xml:space="preserve"> Contatar diretamente a Contratada nos casos em que seja necessária a substituição do material não conforme ou defeituoso;</w:t>
      </w:r>
    </w:p>
    <w:p>
      <w:pPr>
        <w:pStyle w:val="NormalWeb"/>
        <w:spacing w:before="280" w:after="280"/>
        <w:jc w:val="both"/>
        <w:rPr>
          <w:rFonts w:ascii="Verdana" w:hAnsi="Verdana"/>
          <w:color w:val="000000"/>
          <w:sz w:val="18"/>
          <w:szCs w:val="18"/>
        </w:rPr>
      </w:pPr>
      <w:r>
        <w:rPr>
          <w:rFonts w:ascii="Verdana" w:hAnsi="Verdana"/>
          <w:b/>
          <w:bCs/>
          <w:color w:val="000000"/>
          <w:sz w:val="18"/>
          <w:szCs w:val="18"/>
        </w:rPr>
        <w:t>iii.</w:t>
      </w:r>
      <w:r>
        <w:rPr>
          <w:rFonts w:ascii="Verdana" w:hAnsi="Verdana"/>
          <w:color w:val="000000"/>
          <w:sz w:val="18"/>
          <w:szCs w:val="18"/>
        </w:rPr>
        <w:t xml:space="preserve"> Notificar a Contratada, por escrito, fixando-lhe prazo para corrigir defeitos ou irregularidades encontradas na entrega dos materiais;</w:t>
      </w:r>
    </w:p>
    <w:p>
      <w:pPr>
        <w:pStyle w:val="NormalWeb"/>
        <w:spacing w:before="280" w:after="280"/>
        <w:jc w:val="both"/>
        <w:rPr>
          <w:rFonts w:ascii="Verdana" w:hAnsi="Verdana"/>
          <w:color w:val="000000"/>
          <w:sz w:val="18"/>
          <w:szCs w:val="18"/>
        </w:rPr>
      </w:pPr>
      <w:r>
        <w:rPr>
          <w:rFonts w:ascii="Verdana" w:hAnsi="Verdana"/>
          <w:b/>
          <w:bCs/>
          <w:color w:val="000000"/>
          <w:sz w:val="18"/>
          <w:szCs w:val="18"/>
        </w:rPr>
        <w:t>iv.</w:t>
      </w:r>
      <w:r>
        <w:rPr>
          <w:rFonts w:ascii="Verdana" w:hAnsi="Verdana"/>
          <w:color w:val="000000"/>
          <w:sz w:val="18"/>
          <w:szCs w:val="18"/>
        </w:rPr>
        <w:t xml:space="preserve"> Certificar a entrega dos materiais nos documentos de pagamento;</w:t>
      </w:r>
    </w:p>
    <w:p>
      <w:pPr>
        <w:pStyle w:val="NormalWeb"/>
        <w:spacing w:before="280" w:after="280"/>
        <w:jc w:val="both"/>
        <w:rPr>
          <w:rFonts w:ascii="Verdana" w:hAnsi="Verdana"/>
          <w:color w:val="000000"/>
          <w:sz w:val="18"/>
          <w:szCs w:val="18"/>
        </w:rPr>
      </w:pPr>
      <w:r>
        <w:rPr>
          <w:rFonts w:ascii="Verdana" w:hAnsi="Verdana"/>
          <w:b/>
          <w:bCs/>
          <w:color w:val="000000"/>
          <w:sz w:val="18"/>
          <w:szCs w:val="18"/>
        </w:rPr>
        <w:t>v.</w:t>
      </w:r>
      <w:r>
        <w:rPr>
          <w:rFonts w:ascii="Verdana" w:hAnsi="Verdana"/>
          <w:color w:val="000000"/>
          <w:sz w:val="18"/>
          <w:szCs w:val="18"/>
        </w:rPr>
        <w:t xml:space="preserve"> Efetuar os pagamentos à contratada no prazo previsto no Termo de Referência;</w:t>
      </w:r>
    </w:p>
    <w:p>
      <w:pPr>
        <w:pStyle w:val="NormalWeb"/>
        <w:spacing w:before="280" w:after="280"/>
        <w:jc w:val="both"/>
        <w:rPr>
          <w:rFonts w:ascii="Verdana" w:hAnsi="Verdana"/>
          <w:color w:val="000000"/>
          <w:sz w:val="18"/>
          <w:szCs w:val="18"/>
        </w:rPr>
      </w:pPr>
      <w:r>
        <w:rPr>
          <w:rFonts w:ascii="Verdana" w:hAnsi="Verdana"/>
          <w:b/>
          <w:bCs/>
          <w:color w:val="000000"/>
          <w:sz w:val="18"/>
          <w:szCs w:val="18"/>
        </w:rPr>
        <w:t>vi.</w:t>
      </w:r>
      <w:r>
        <w:rPr>
          <w:rFonts w:ascii="Verdana" w:hAnsi="Verdana"/>
          <w:color w:val="000000"/>
          <w:sz w:val="18"/>
          <w:szCs w:val="18"/>
        </w:rPr>
        <w:t xml:space="preserve"> Designar servidor responsável pelo acompanhamento e fiscalização na entrega dos produtos adquiridos;</w:t>
      </w:r>
    </w:p>
    <w:p>
      <w:pPr>
        <w:pStyle w:val="NormalWeb"/>
        <w:spacing w:before="280" w:after="280"/>
        <w:jc w:val="both"/>
        <w:rPr>
          <w:rFonts w:ascii="Verdana" w:hAnsi="Verdana"/>
          <w:color w:val="000000"/>
          <w:sz w:val="18"/>
          <w:szCs w:val="18"/>
        </w:rPr>
      </w:pPr>
      <w:r>
        <w:rPr>
          <w:rFonts w:ascii="Verdana" w:hAnsi="Verdana"/>
          <w:b/>
          <w:bCs/>
          <w:color w:val="000000"/>
          <w:sz w:val="18"/>
          <w:szCs w:val="18"/>
        </w:rPr>
        <w:t>vii.</w:t>
      </w:r>
      <w:r>
        <w:rPr>
          <w:rFonts w:ascii="Verdana" w:hAnsi="Verdana"/>
          <w:color w:val="000000"/>
          <w:sz w:val="18"/>
          <w:szCs w:val="18"/>
        </w:rPr>
        <w:t xml:space="preserve"> Rejeitar, no todo ou em parte, os materiais entregues em desacordo com as exigências do Termo de Referência;</w:t>
      </w:r>
    </w:p>
    <w:p>
      <w:pPr>
        <w:pStyle w:val="NormalWeb"/>
        <w:spacing w:before="280" w:after="280"/>
        <w:jc w:val="both"/>
        <w:rPr>
          <w:rFonts w:ascii="Verdana" w:hAnsi="Verdana"/>
          <w:color w:val="000000"/>
          <w:sz w:val="18"/>
          <w:szCs w:val="18"/>
        </w:rPr>
      </w:pPr>
      <w:r>
        <w:rPr>
          <w:rFonts w:ascii="Verdana" w:hAnsi="Verdana"/>
          <w:b/>
          <w:bCs/>
          <w:color w:val="000000"/>
          <w:sz w:val="18"/>
          <w:szCs w:val="18"/>
        </w:rPr>
        <w:t>viii.</w:t>
      </w:r>
      <w:r>
        <w:rPr>
          <w:rFonts w:ascii="Verdana" w:hAnsi="Verdana"/>
          <w:color w:val="000000"/>
          <w:sz w:val="18"/>
          <w:szCs w:val="18"/>
        </w:rPr>
        <w:t xml:space="preserve"> Notificar, por escrito, à Contratada, da aplicação de eventuais penalidades, garantindo o contraditório e a ampla defesa.</w:t>
      </w:r>
    </w:p>
    <w:p>
      <w:pPr>
        <w:pStyle w:val="Normal"/>
        <w:shd w:val="clear" w:color="auto" w:fill="BFBFBF"/>
        <w:jc w:val="center"/>
        <w:rPr>
          <w:rFonts w:ascii="Calibri" w:hAnsi="Calibri" w:eastAsia="Calibri" w:cs="Calibri"/>
        </w:rPr>
      </w:pPr>
      <w:r>
        <w:rPr>
          <w:rFonts w:eastAsia="Verdana" w:cs="Verdana" w:ascii="Verdana" w:hAnsi="Verdana"/>
          <w:b/>
          <w:sz w:val="18"/>
          <w:szCs w:val="18"/>
        </w:rPr>
        <w:t>CLÁUSULA QUARTA - DAS OBRIGAÇÕES DA CONTRATADA</w:t>
      </w:r>
    </w:p>
    <w:p>
      <w:pPr>
        <w:pStyle w:val="Normal"/>
        <w:widowControl w:val="false"/>
        <w:rPr>
          <w:rFonts w:ascii="Verdana" w:hAnsi="Verdana" w:eastAsia="Verdana" w:cs="Verdana"/>
          <w:b/>
          <w:b/>
          <w:sz w:val="18"/>
          <w:szCs w:val="18"/>
        </w:rPr>
      </w:pPr>
      <w:r>
        <w:rPr>
          <w:rFonts w:eastAsia="Verdana" w:cs="Verdana" w:ascii="Verdana" w:hAnsi="Verdana"/>
          <w:b/>
          <w:sz w:val="18"/>
          <w:szCs w:val="18"/>
        </w:rPr>
      </w:r>
    </w:p>
    <w:p>
      <w:pPr>
        <w:pStyle w:val="Normal"/>
        <w:widowControl w:val="false"/>
        <w:jc w:val="both"/>
        <w:rPr>
          <w:rFonts w:ascii="Verdana" w:hAnsi="Verdana" w:eastAsia="Calibri" w:cs="Calibri"/>
          <w:sz w:val="18"/>
          <w:szCs w:val="18"/>
        </w:rPr>
      </w:pPr>
      <w:r>
        <w:rPr>
          <w:rFonts w:eastAsia="Verdana" w:cs="Verdana" w:ascii="Verdana" w:hAnsi="Verdana"/>
          <w:b/>
          <w:sz w:val="18"/>
          <w:szCs w:val="18"/>
        </w:rPr>
        <w:t xml:space="preserve">4.1 - </w:t>
      </w:r>
      <w:r>
        <w:rPr>
          <w:rFonts w:ascii="Verdana" w:hAnsi="Verdana"/>
          <w:color w:val="000000"/>
          <w:sz w:val="18"/>
          <w:szCs w:val="18"/>
        </w:rPr>
        <w:t xml:space="preserve">Constituir-se-ão deveres da </w:t>
      </w:r>
      <w:r>
        <w:rPr>
          <w:rFonts w:ascii="Verdana" w:hAnsi="Verdana"/>
          <w:b/>
          <w:bCs/>
          <w:color w:val="000000"/>
          <w:sz w:val="18"/>
          <w:szCs w:val="18"/>
        </w:rPr>
        <w:t>CONTRATADA</w:t>
      </w:r>
      <w:r>
        <w:rPr>
          <w:rFonts w:ascii="Verdana" w:hAnsi="Verdana"/>
          <w:color w:val="000000"/>
          <w:sz w:val="18"/>
          <w:szCs w:val="18"/>
        </w:rPr>
        <w:t>, dentre outros relacionados no instrumento contratual respectivo:</w:t>
      </w:r>
    </w:p>
    <w:p>
      <w:pPr>
        <w:pStyle w:val="NormalWeb"/>
        <w:spacing w:before="280" w:after="280"/>
        <w:jc w:val="both"/>
        <w:rPr>
          <w:rFonts w:ascii="Verdana" w:hAnsi="Verdana"/>
          <w:color w:val="000000"/>
          <w:sz w:val="18"/>
          <w:szCs w:val="18"/>
        </w:rPr>
      </w:pPr>
      <w:r>
        <w:rPr>
          <w:rFonts w:ascii="Verdana" w:hAnsi="Verdana"/>
          <w:b/>
          <w:bCs/>
          <w:color w:val="000000"/>
          <w:sz w:val="18"/>
          <w:szCs w:val="18"/>
        </w:rPr>
        <w:t xml:space="preserve">i. </w:t>
      </w:r>
      <w:r>
        <w:rPr>
          <w:rFonts w:ascii="Verdana" w:hAnsi="Verdana"/>
          <w:color w:val="000000"/>
          <w:sz w:val="18"/>
          <w:szCs w:val="18"/>
        </w:rPr>
        <w:t>Designar preposto, que realizará o contato com a Administração pública sobre os assuntos da ata e contrato, e cujo vínculo com a detentora seja comprovado por meios legais.</w:t>
      </w:r>
    </w:p>
    <w:p>
      <w:pPr>
        <w:pStyle w:val="NormalWeb"/>
        <w:spacing w:before="280" w:after="280"/>
        <w:jc w:val="both"/>
        <w:rPr>
          <w:rFonts w:ascii="Verdana" w:hAnsi="Verdana"/>
          <w:color w:val="000000"/>
          <w:sz w:val="18"/>
          <w:szCs w:val="18"/>
        </w:rPr>
      </w:pPr>
      <w:r>
        <w:rPr>
          <w:rFonts w:ascii="Verdana" w:hAnsi="Verdana"/>
          <w:b/>
          <w:bCs/>
          <w:color w:val="000000"/>
          <w:sz w:val="18"/>
          <w:szCs w:val="18"/>
        </w:rPr>
        <w:t xml:space="preserve">ii. </w:t>
      </w:r>
      <w:r>
        <w:rPr>
          <w:rFonts w:ascii="Verdana" w:hAnsi="Verdana"/>
          <w:color w:val="000000"/>
          <w:sz w:val="18"/>
          <w:szCs w:val="18"/>
        </w:rPr>
        <w:t>Efetuar a medição dos vãos e esquadrias indicadas para receberem as películas, antes de recortá-las, e ou persianas, assumindo o ônus da adequação às peculiaridades do local. Tal medição deve ser agendada previamente com o servidor que acompanhará a sua execução.</w:t>
      </w:r>
    </w:p>
    <w:p>
      <w:pPr>
        <w:pStyle w:val="NormalWeb"/>
        <w:spacing w:before="280" w:after="280"/>
        <w:jc w:val="both"/>
        <w:rPr>
          <w:rFonts w:ascii="Verdana" w:hAnsi="Verdana"/>
          <w:color w:val="000000"/>
          <w:sz w:val="18"/>
          <w:szCs w:val="18"/>
        </w:rPr>
      </w:pPr>
      <w:r>
        <w:rPr>
          <w:rFonts w:ascii="Verdana" w:hAnsi="Verdana"/>
          <w:b/>
          <w:bCs/>
          <w:color w:val="000000"/>
          <w:sz w:val="18"/>
          <w:szCs w:val="18"/>
        </w:rPr>
        <w:t xml:space="preserve">iii. </w:t>
      </w:r>
      <w:r>
        <w:rPr>
          <w:rFonts w:ascii="Verdana" w:hAnsi="Verdana"/>
          <w:color w:val="000000"/>
          <w:sz w:val="18"/>
          <w:szCs w:val="18"/>
        </w:rPr>
        <w:t>Utilizar profissionais habilitados e especializados na prestação dos serviços, devidamente uniformizados, identificados por crachá e munidos de equipamentos necessários ao desempenho eficiente dos serviços.</w:t>
      </w:r>
    </w:p>
    <w:p>
      <w:pPr>
        <w:pStyle w:val="NormalWeb"/>
        <w:spacing w:before="280" w:after="280"/>
        <w:jc w:val="both"/>
        <w:rPr>
          <w:rFonts w:ascii="Verdana" w:hAnsi="Verdana"/>
          <w:color w:val="000000"/>
          <w:sz w:val="18"/>
          <w:szCs w:val="18"/>
        </w:rPr>
      </w:pPr>
      <w:r>
        <w:rPr>
          <w:rFonts w:ascii="Verdana" w:hAnsi="Verdana"/>
          <w:b/>
          <w:bCs/>
          <w:color w:val="000000"/>
          <w:sz w:val="18"/>
          <w:szCs w:val="18"/>
        </w:rPr>
        <w:t xml:space="preserve">iv. </w:t>
      </w:r>
      <w:r>
        <w:rPr>
          <w:rFonts w:ascii="Verdana" w:hAnsi="Verdana"/>
          <w:color w:val="000000"/>
          <w:sz w:val="18"/>
          <w:szCs w:val="18"/>
        </w:rPr>
        <w:t>Apresentar ao gestor e ao fiscal do contrato a relação nominal dos funcionários responsáveis pela execução dos serviços de instalação das persianas, mencionando o documento de identificação (RG ou CPF), bem como as ferramentas e equipamentos a serem por eles utilizados, para que seja providenciada a autorização de acesso aos locais indicados na ordem de serviço;</w:t>
      </w:r>
    </w:p>
    <w:p>
      <w:pPr>
        <w:pStyle w:val="NormalWeb"/>
        <w:spacing w:before="280" w:after="280"/>
        <w:jc w:val="both"/>
        <w:rPr>
          <w:rFonts w:ascii="Verdana" w:hAnsi="Verdana"/>
          <w:color w:val="000000"/>
          <w:sz w:val="18"/>
          <w:szCs w:val="18"/>
        </w:rPr>
      </w:pPr>
      <w:r>
        <w:rPr>
          <w:rFonts w:ascii="Verdana" w:hAnsi="Verdana"/>
          <w:b/>
          <w:bCs/>
          <w:color w:val="000000"/>
          <w:sz w:val="18"/>
          <w:szCs w:val="18"/>
        </w:rPr>
        <w:t xml:space="preserve">v. </w:t>
      </w:r>
      <w:r>
        <w:rPr>
          <w:rFonts w:ascii="Verdana" w:hAnsi="Verdana"/>
          <w:color w:val="000000"/>
          <w:sz w:val="18"/>
          <w:szCs w:val="18"/>
        </w:rPr>
        <w:t>Se responsabilizar pela execução dos serviços de acordo com as normas de segurança de trabalho, bem como fornecer e manter os funcionários responsáveis pelo serviço devidamente protegidos por meio de EPI (Equipamentos de Proteção Individual) e EPC (Equipamentos de Proteção Coletiva), conforme legislação e normas de segurança do trabalho vigentes à época de execução do contrato.</w:t>
      </w:r>
    </w:p>
    <w:p>
      <w:pPr>
        <w:pStyle w:val="NormalWeb"/>
        <w:spacing w:before="280" w:after="280"/>
        <w:jc w:val="both"/>
        <w:rPr>
          <w:rFonts w:ascii="Verdana" w:hAnsi="Verdana"/>
          <w:color w:val="000000"/>
          <w:sz w:val="18"/>
          <w:szCs w:val="18"/>
        </w:rPr>
      </w:pPr>
      <w:r>
        <w:rPr>
          <w:rFonts w:ascii="Verdana" w:hAnsi="Verdana"/>
          <w:b/>
          <w:bCs/>
          <w:color w:val="000000"/>
          <w:sz w:val="18"/>
          <w:szCs w:val="18"/>
        </w:rPr>
        <w:t xml:space="preserve">vi. </w:t>
      </w:r>
      <w:r>
        <w:rPr>
          <w:rFonts w:ascii="Verdana" w:hAnsi="Verdana"/>
          <w:color w:val="000000"/>
          <w:sz w:val="18"/>
          <w:szCs w:val="18"/>
        </w:rPr>
        <w:t>Manter equipe técnica compatível em quantidade e qualidade suficientes para garantir a perfeita e ininterrupta execução dos serviços contratados, não sendo aceitável atraso sob a justificativa de férias, descanso semanal, licenças em geral, falta ao serviço, demissão ou outros análogos;</w:t>
      </w:r>
    </w:p>
    <w:p>
      <w:pPr>
        <w:pStyle w:val="NormalWeb"/>
        <w:spacing w:before="280" w:after="280"/>
        <w:jc w:val="both"/>
        <w:rPr>
          <w:rFonts w:ascii="Verdana" w:hAnsi="Verdana"/>
          <w:color w:val="000000"/>
          <w:sz w:val="18"/>
          <w:szCs w:val="18"/>
        </w:rPr>
      </w:pPr>
      <w:r>
        <w:rPr>
          <w:rFonts w:ascii="Verdana" w:hAnsi="Verdana"/>
          <w:b/>
          <w:bCs/>
          <w:color w:val="000000"/>
          <w:sz w:val="18"/>
          <w:szCs w:val="18"/>
        </w:rPr>
        <w:t xml:space="preserve">vii. </w:t>
      </w:r>
      <w:r>
        <w:rPr>
          <w:rFonts w:ascii="Verdana" w:hAnsi="Verdana"/>
          <w:color w:val="000000"/>
          <w:sz w:val="18"/>
          <w:szCs w:val="18"/>
        </w:rPr>
        <w:t>Substituir, imediatamente, qualquer funcionário da CONTRATADA, considerado inconveniente a boa ordem e ao benéfico desenvolvimento dos trabalhos, mediante justificativa circunstanciada apresentada pelo gestor do contrato, assegurado o contraditório e ampla defesa.</w:t>
      </w:r>
    </w:p>
    <w:p>
      <w:pPr>
        <w:pStyle w:val="NormalWeb"/>
        <w:spacing w:before="280" w:after="280"/>
        <w:jc w:val="both"/>
        <w:rPr>
          <w:rFonts w:ascii="Verdana" w:hAnsi="Verdana"/>
          <w:color w:val="000000"/>
          <w:sz w:val="18"/>
          <w:szCs w:val="18"/>
        </w:rPr>
      </w:pPr>
      <w:r>
        <w:rPr>
          <w:rFonts w:ascii="Verdana" w:hAnsi="Verdana"/>
          <w:b/>
          <w:bCs/>
          <w:color w:val="000000"/>
          <w:sz w:val="18"/>
          <w:szCs w:val="18"/>
        </w:rPr>
        <w:t xml:space="preserve">viii. </w:t>
      </w:r>
      <w:r>
        <w:rPr>
          <w:rFonts w:ascii="Verdana" w:hAnsi="Verdana"/>
          <w:color w:val="000000"/>
          <w:sz w:val="18"/>
          <w:szCs w:val="18"/>
        </w:rPr>
        <w:t>Executar, com esmero e perfeição, os serviços técnicos especializados, ora contratados, em conformidade com as exigências do TR;</w:t>
      </w:r>
    </w:p>
    <w:p>
      <w:pPr>
        <w:pStyle w:val="NormalWeb"/>
        <w:spacing w:before="280" w:after="280"/>
        <w:jc w:val="both"/>
        <w:rPr>
          <w:rFonts w:ascii="Verdana" w:hAnsi="Verdana"/>
          <w:color w:val="000000"/>
          <w:sz w:val="18"/>
          <w:szCs w:val="18"/>
        </w:rPr>
      </w:pPr>
      <w:r>
        <w:rPr>
          <w:rFonts w:ascii="Verdana" w:hAnsi="Verdana"/>
          <w:b/>
          <w:bCs/>
          <w:color w:val="000000"/>
          <w:sz w:val="18"/>
          <w:szCs w:val="18"/>
        </w:rPr>
        <w:t xml:space="preserve">ix. </w:t>
      </w:r>
      <w:r>
        <w:rPr>
          <w:rFonts w:ascii="Verdana" w:hAnsi="Verdana"/>
          <w:color w:val="000000"/>
          <w:sz w:val="18"/>
          <w:szCs w:val="18"/>
        </w:rPr>
        <w:t>Todo o material, equipamentos e mão de obra necessária à perfeita execução dos serviços deverão ser fornecidos pela contratada, devendo se responsabilizar pela guarda dos materiais e equipamentos.</w:t>
      </w:r>
    </w:p>
    <w:p>
      <w:pPr>
        <w:pStyle w:val="NormalWeb"/>
        <w:spacing w:before="280" w:after="280"/>
        <w:jc w:val="both"/>
        <w:rPr>
          <w:rFonts w:ascii="Verdana" w:hAnsi="Verdana"/>
          <w:color w:val="000000"/>
          <w:sz w:val="18"/>
          <w:szCs w:val="18"/>
        </w:rPr>
      </w:pPr>
      <w:r>
        <w:rPr>
          <w:rFonts w:ascii="Verdana" w:hAnsi="Verdana"/>
          <w:b/>
          <w:bCs/>
          <w:color w:val="000000"/>
          <w:sz w:val="18"/>
          <w:szCs w:val="18"/>
        </w:rPr>
        <w:t xml:space="preserve">x. </w:t>
      </w:r>
      <w:r>
        <w:rPr>
          <w:rFonts w:ascii="Verdana" w:hAnsi="Verdana"/>
          <w:color w:val="000000"/>
          <w:sz w:val="18"/>
          <w:szCs w:val="18"/>
        </w:rPr>
        <w:t>Fornecer e responsabilizar-se pelo transporte de todo material de consumo, peças e equipamentos necessários ao desempenho dos serviços, os quais deverão ser de primeira qualidade e originais;</w:t>
      </w:r>
    </w:p>
    <w:p>
      <w:pPr>
        <w:pStyle w:val="NormalWeb"/>
        <w:spacing w:before="280" w:after="280"/>
        <w:jc w:val="both"/>
        <w:rPr>
          <w:rFonts w:ascii="Verdana" w:hAnsi="Verdana"/>
          <w:color w:val="000000"/>
          <w:sz w:val="18"/>
          <w:szCs w:val="18"/>
        </w:rPr>
      </w:pPr>
      <w:r>
        <w:rPr>
          <w:rFonts w:ascii="Verdana" w:hAnsi="Verdana"/>
          <w:b/>
          <w:bCs/>
          <w:color w:val="000000"/>
          <w:sz w:val="18"/>
          <w:szCs w:val="18"/>
        </w:rPr>
        <w:t xml:space="preserve">xi. </w:t>
      </w:r>
      <w:r>
        <w:rPr>
          <w:rFonts w:ascii="Verdana" w:hAnsi="Verdana"/>
          <w:color w:val="000000"/>
          <w:sz w:val="18"/>
          <w:szCs w:val="18"/>
        </w:rPr>
        <w:t>Remover as películas e ou persianas porventura existentes nos locais onde serão instaladas as novas películas e ou persianas; A remoção de persianas já deve estar embutida no preço de instalação da nova.</w:t>
      </w:r>
    </w:p>
    <w:p>
      <w:pPr>
        <w:pStyle w:val="NormalWeb"/>
        <w:spacing w:before="280" w:after="280"/>
        <w:jc w:val="both"/>
        <w:rPr>
          <w:rFonts w:ascii="Verdana" w:hAnsi="Verdana"/>
          <w:color w:val="000000"/>
          <w:sz w:val="18"/>
          <w:szCs w:val="18"/>
        </w:rPr>
      </w:pPr>
      <w:r>
        <w:rPr>
          <w:rFonts w:ascii="Verdana" w:hAnsi="Verdana"/>
          <w:b/>
          <w:bCs/>
          <w:color w:val="000000"/>
          <w:sz w:val="18"/>
          <w:szCs w:val="18"/>
        </w:rPr>
        <w:t xml:space="preserve">xii. </w:t>
      </w:r>
      <w:r>
        <w:rPr>
          <w:rFonts w:ascii="Verdana" w:hAnsi="Verdana"/>
          <w:color w:val="000000"/>
          <w:sz w:val="18"/>
          <w:szCs w:val="18"/>
        </w:rPr>
        <w:t>Reparar, corrigir, remover, refazer ou substituir, no todo ou em parte, às suas expensas, os materiais instalados ou serviços realizados, em que se verifiquem vícios, defeitos ou incorreções resultantes dos materiais empregados ou da execução dos serviços, no prazo máximo de </w:t>
      </w:r>
      <w:r>
        <w:rPr>
          <w:rStyle w:val="Strong"/>
          <w:rFonts w:ascii="Verdana" w:hAnsi="Verdana"/>
          <w:color w:val="000000"/>
          <w:sz w:val="18"/>
          <w:szCs w:val="18"/>
        </w:rPr>
        <w:t>15 (quinze) dias úteis</w:t>
      </w:r>
      <w:r>
        <w:rPr>
          <w:rFonts w:ascii="Verdana" w:hAnsi="Verdana"/>
          <w:color w:val="000000"/>
          <w:sz w:val="18"/>
          <w:szCs w:val="18"/>
        </w:rPr>
        <w:t>, contados do recebimento da notificação emitida pelo Gestor do Contrato.</w:t>
      </w:r>
    </w:p>
    <w:p>
      <w:pPr>
        <w:pStyle w:val="NormalWeb"/>
        <w:spacing w:before="280" w:after="280"/>
        <w:jc w:val="both"/>
        <w:rPr>
          <w:rFonts w:ascii="Verdana" w:hAnsi="Verdana"/>
          <w:color w:val="000000"/>
          <w:sz w:val="18"/>
          <w:szCs w:val="18"/>
        </w:rPr>
      </w:pPr>
      <w:r>
        <w:rPr>
          <w:rFonts w:ascii="Verdana" w:hAnsi="Verdana"/>
          <w:b/>
          <w:bCs/>
          <w:color w:val="000000"/>
          <w:sz w:val="18"/>
          <w:szCs w:val="18"/>
        </w:rPr>
        <w:t xml:space="preserve">xiii. </w:t>
      </w:r>
      <w:r>
        <w:rPr>
          <w:rFonts w:ascii="Verdana" w:hAnsi="Verdana"/>
          <w:color w:val="000000"/>
          <w:sz w:val="18"/>
          <w:szCs w:val="18"/>
        </w:rPr>
        <w:t>Durante a instalação, zelar pelo estado de conservação da pintura das paredes.</w:t>
      </w:r>
    </w:p>
    <w:p>
      <w:pPr>
        <w:pStyle w:val="NormalWeb"/>
        <w:spacing w:before="280" w:after="280"/>
        <w:jc w:val="both"/>
        <w:rPr>
          <w:rFonts w:ascii="Verdana" w:hAnsi="Verdana"/>
          <w:color w:val="000000"/>
          <w:sz w:val="18"/>
          <w:szCs w:val="18"/>
        </w:rPr>
      </w:pPr>
      <w:r>
        <w:rPr>
          <w:rFonts w:ascii="Verdana" w:hAnsi="Verdana"/>
          <w:b/>
          <w:bCs/>
          <w:color w:val="000000"/>
          <w:sz w:val="18"/>
          <w:szCs w:val="18"/>
        </w:rPr>
        <w:t xml:space="preserve">xiv. </w:t>
      </w:r>
      <w:r>
        <w:rPr>
          <w:rFonts w:ascii="Verdana" w:hAnsi="Verdana"/>
          <w:color w:val="000000"/>
          <w:sz w:val="18"/>
          <w:szCs w:val="18"/>
        </w:rPr>
        <w:t>A empresa contratada deverá entregar, na conclusão dos serviços, o certificado de garantia do fabricante da película, contra descolagem e descolorações espontâneas.</w:t>
      </w:r>
    </w:p>
    <w:p>
      <w:pPr>
        <w:pStyle w:val="NormalWeb"/>
        <w:spacing w:before="280" w:after="280"/>
        <w:jc w:val="both"/>
        <w:rPr>
          <w:rFonts w:ascii="Verdana" w:hAnsi="Verdana"/>
          <w:color w:val="000000"/>
          <w:sz w:val="18"/>
          <w:szCs w:val="18"/>
        </w:rPr>
      </w:pPr>
      <w:r>
        <w:rPr>
          <w:rFonts w:ascii="Verdana" w:hAnsi="Verdana"/>
          <w:b/>
          <w:bCs/>
          <w:color w:val="000000"/>
          <w:sz w:val="18"/>
          <w:szCs w:val="18"/>
        </w:rPr>
        <w:t xml:space="preserve">xv. </w:t>
      </w:r>
      <w:r>
        <w:rPr>
          <w:rFonts w:ascii="Verdana" w:hAnsi="Verdana"/>
          <w:color w:val="000000"/>
          <w:sz w:val="18"/>
          <w:szCs w:val="18"/>
        </w:rPr>
        <w:t>Encaminhar qualquer solicitação à SECRENG/TJES por intermédio do gestor do contrato;</w:t>
      </w:r>
    </w:p>
    <w:p>
      <w:pPr>
        <w:pStyle w:val="NormalWeb"/>
        <w:spacing w:before="280" w:after="280"/>
        <w:jc w:val="both"/>
        <w:rPr>
          <w:rFonts w:ascii="Verdana" w:hAnsi="Verdana"/>
          <w:color w:val="000000"/>
          <w:sz w:val="18"/>
          <w:szCs w:val="18"/>
        </w:rPr>
      </w:pPr>
      <w:r>
        <w:rPr>
          <w:rFonts w:ascii="Verdana" w:hAnsi="Verdana"/>
          <w:b/>
          <w:bCs/>
          <w:color w:val="000000"/>
          <w:sz w:val="18"/>
          <w:szCs w:val="18"/>
        </w:rPr>
        <w:t xml:space="preserve">xvi. </w:t>
      </w:r>
      <w:r>
        <w:rPr>
          <w:rFonts w:ascii="Verdana" w:hAnsi="Verdana"/>
          <w:color w:val="000000"/>
          <w:sz w:val="18"/>
          <w:szCs w:val="18"/>
        </w:rPr>
        <w:t>Acatar a fiscalização, a orientação e o gerenciamento dos trabalhos por parte do gestor do contrato designado pela SECRENG/TJES;</w:t>
      </w:r>
    </w:p>
    <w:p>
      <w:pPr>
        <w:pStyle w:val="NormalWeb"/>
        <w:spacing w:before="280" w:after="280"/>
        <w:jc w:val="both"/>
        <w:rPr>
          <w:rFonts w:ascii="Verdana" w:hAnsi="Verdana"/>
          <w:color w:val="000000"/>
          <w:sz w:val="18"/>
          <w:szCs w:val="18"/>
        </w:rPr>
      </w:pPr>
      <w:r>
        <w:rPr>
          <w:rFonts w:ascii="Verdana" w:hAnsi="Verdana"/>
          <w:b/>
          <w:bCs/>
          <w:color w:val="000000"/>
          <w:sz w:val="18"/>
          <w:szCs w:val="18"/>
        </w:rPr>
        <w:t xml:space="preserve">xvii. </w:t>
      </w:r>
      <w:r>
        <w:rPr>
          <w:rFonts w:ascii="Verdana" w:hAnsi="Verdana"/>
          <w:color w:val="000000"/>
          <w:sz w:val="18"/>
          <w:szCs w:val="18"/>
        </w:rPr>
        <w:t>Facilitar todas as atividades de fiscalização dos serviços que serão feitos pelos arquitetos e técnicos da SECRENG/TJES;</w:t>
      </w:r>
    </w:p>
    <w:p>
      <w:pPr>
        <w:pStyle w:val="NormalWeb"/>
        <w:spacing w:before="280" w:after="280"/>
        <w:jc w:val="both"/>
        <w:rPr>
          <w:rFonts w:ascii="Verdana" w:hAnsi="Verdana"/>
          <w:color w:val="000000"/>
          <w:sz w:val="18"/>
          <w:szCs w:val="18"/>
        </w:rPr>
      </w:pPr>
      <w:r>
        <w:rPr>
          <w:rFonts w:ascii="Verdana" w:hAnsi="Verdana"/>
          <w:b/>
          <w:bCs/>
          <w:color w:val="000000"/>
          <w:sz w:val="18"/>
          <w:szCs w:val="18"/>
        </w:rPr>
        <w:t xml:space="preserve">xviii. </w:t>
      </w:r>
      <w:r>
        <w:rPr>
          <w:rFonts w:ascii="Verdana" w:hAnsi="Verdana"/>
          <w:color w:val="000000"/>
          <w:sz w:val="18"/>
          <w:szCs w:val="18"/>
        </w:rPr>
        <w:t>Comunicar imediatamente, por intermédio da equipe da SECRENG/TJES, toda e qualquer irregularidade ou dificuldade que impossibilite a execução do objeto do termo de referência. Não serão consideradas quaisquer alegações da CONTRATADA relativas a dificuldades de execução contratual não argumentadas quando da elaboração da proposta.</w:t>
      </w:r>
    </w:p>
    <w:p>
      <w:pPr>
        <w:pStyle w:val="NormalWeb"/>
        <w:spacing w:before="280" w:after="280"/>
        <w:jc w:val="both"/>
        <w:rPr>
          <w:rFonts w:ascii="Verdana" w:hAnsi="Verdana"/>
          <w:color w:val="000000"/>
          <w:sz w:val="18"/>
          <w:szCs w:val="18"/>
        </w:rPr>
      </w:pPr>
      <w:r>
        <w:rPr>
          <w:rFonts w:ascii="Verdana" w:hAnsi="Verdana"/>
          <w:b/>
          <w:bCs/>
          <w:color w:val="000000"/>
          <w:sz w:val="18"/>
          <w:szCs w:val="18"/>
        </w:rPr>
        <w:t xml:space="preserve">xix. </w:t>
      </w:r>
      <w:r>
        <w:rPr>
          <w:rFonts w:ascii="Verdana" w:hAnsi="Verdana"/>
          <w:color w:val="000000"/>
          <w:sz w:val="18"/>
          <w:szCs w:val="18"/>
        </w:rPr>
        <w:t>Apresentar pareceres técnicos ou qualquer esclarecimento, quando solicitados pela SECRENG/TJES, sobre fatos relevantes, no transcorrer da execução dos serviços, no prazo de até 05 (cinco) dias corridos;</w:t>
      </w:r>
    </w:p>
    <w:p>
      <w:pPr>
        <w:pStyle w:val="NormalWeb"/>
        <w:spacing w:before="280" w:after="280"/>
        <w:jc w:val="both"/>
        <w:rPr>
          <w:rFonts w:ascii="Verdana" w:hAnsi="Verdana"/>
          <w:color w:val="000000"/>
          <w:sz w:val="18"/>
          <w:szCs w:val="18"/>
        </w:rPr>
      </w:pPr>
      <w:r>
        <w:rPr>
          <w:rFonts w:ascii="Verdana" w:hAnsi="Verdana"/>
          <w:b/>
          <w:bCs/>
          <w:color w:val="000000"/>
          <w:sz w:val="18"/>
          <w:szCs w:val="18"/>
        </w:rPr>
        <w:t xml:space="preserve">xx. </w:t>
      </w:r>
      <w:r>
        <w:rPr>
          <w:rFonts w:ascii="Verdana" w:hAnsi="Verdana"/>
          <w:color w:val="000000"/>
          <w:sz w:val="18"/>
          <w:szCs w:val="18"/>
        </w:rPr>
        <w:t>Realizar os serviços de que trata o presente objeto nos prazos estipulados e apresentar os documentos solicitados pela SECRENG/TJES, nos prazos previamente notificados;</w:t>
      </w:r>
    </w:p>
    <w:p>
      <w:pPr>
        <w:pStyle w:val="NormalWeb"/>
        <w:spacing w:before="280" w:after="280"/>
        <w:jc w:val="both"/>
        <w:rPr>
          <w:rFonts w:ascii="Verdana" w:hAnsi="Verdana"/>
          <w:color w:val="000000"/>
          <w:sz w:val="18"/>
          <w:szCs w:val="18"/>
        </w:rPr>
      </w:pPr>
      <w:r>
        <w:rPr>
          <w:rFonts w:ascii="Verdana" w:hAnsi="Verdana"/>
          <w:b/>
          <w:bCs/>
          <w:color w:val="000000"/>
          <w:sz w:val="18"/>
          <w:szCs w:val="18"/>
        </w:rPr>
        <w:t xml:space="preserve">xxi. </w:t>
      </w:r>
      <w:r>
        <w:rPr>
          <w:rFonts w:ascii="Verdana" w:hAnsi="Verdana"/>
          <w:color w:val="000000"/>
          <w:sz w:val="18"/>
          <w:szCs w:val="18"/>
        </w:rPr>
        <w:t>Não transferir a outrem, no todo ou em parte, o objeto deste contrato, sem a prévia e expressa anuência da SECRENG/TJ;</w:t>
      </w:r>
    </w:p>
    <w:p>
      <w:pPr>
        <w:pStyle w:val="NormalWeb"/>
        <w:spacing w:before="280" w:after="280"/>
        <w:jc w:val="both"/>
        <w:rPr>
          <w:rFonts w:ascii="Verdana" w:hAnsi="Verdana"/>
          <w:color w:val="000000"/>
          <w:sz w:val="18"/>
          <w:szCs w:val="18"/>
        </w:rPr>
      </w:pPr>
      <w:r>
        <w:rPr>
          <w:rFonts w:ascii="Verdana" w:hAnsi="Verdana"/>
          <w:b/>
          <w:bCs/>
          <w:color w:val="000000"/>
          <w:sz w:val="18"/>
          <w:szCs w:val="18"/>
        </w:rPr>
        <w:t xml:space="preserve">xxii. </w:t>
      </w:r>
      <w:r>
        <w:rPr>
          <w:rFonts w:ascii="Verdana" w:hAnsi="Verdana"/>
          <w:color w:val="000000"/>
          <w:sz w:val="18"/>
          <w:szCs w:val="18"/>
        </w:rPr>
        <w:t>A SECRENG/TJES não responderá por quaisquer compromissos assumidos pela CONTRATADA com terceiros, ainda que vinculados à execução do presente Contrato, bem como qualquer dano causado a terceiros em decorrência de ato desta, de seus empregados, prepostos ou subordinados.</w:t>
      </w:r>
    </w:p>
    <w:p>
      <w:pPr>
        <w:pStyle w:val="NormalWeb"/>
        <w:spacing w:before="280" w:after="280"/>
        <w:jc w:val="both"/>
        <w:rPr>
          <w:rFonts w:ascii="Verdana" w:hAnsi="Verdana"/>
          <w:color w:val="000000"/>
          <w:sz w:val="18"/>
          <w:szCs w:val="18"/>
        </w:rPr>
      </w:pPr>
      <w:r>
        <w:rPr>
          <w:rFonts w:ascii="Verdana" w:hAnsi="Verdana"/>
          <w:b/>
          <w:bCs/>
          <w:color w:val="000000"/>
          <w:sz w:val="18"/>
          <w:szCs w:val="18"/>
        </w:rPr>
        <w:t xml:space="preserve">xxiii. </w:t>
      </w:r>
      <w:r>
        <w:rPr>
          <w:rFonts w:ascii="Verdana" w:hAnsi="Verdana"/>
          <w:color w:val="000000"/>
          <w:sz w:val="18"/>
          <w:szCs w:val="18"/>
        </w:rPr>
        <w:t>A CONTRATADA deverá levar em conta todas as precauções e zelar permanentemente para que as suas operações não provoquem danos físicos ou materiais a terceiros, cabendo-lhe, exclusivamente, todos os ônus para reparação de eventuais danos causados.</w:t>
      </w:r>
    </w:p>
    <w:p>
      <w:pPr>
        <w:pStyle w:val="NormalWeb"/>
        <w:spacing w:before="280" w:after="280"/>
        <w:jc w:val="both"/>
        <w:rPr>
          <w:rFonts w:ascii="Verdana" w:hAnsi="Verdana"/>
          <w:color w:val="000000"/>
          <w:sz w:val="18"/>
          <w:szCs w:val="18"/>
        </w:rPr>
      </w:pPr>
      <w:r>
        <w:rPr>
          <w:rFonts w:ascii="Verdana" w:hAnsi="Verdana"/>
          <w:b/>
          <w:bCs/>
          <w:color w:val="000000"/>
          <w:sz w:val="18"/>
          <w:szCs w:val="18"/>
        </w:rPr>
        <w:t xml:space="preserve">xxiv. </w:t>
      </w:r>
      <w:r>
        <w:rPr>
          <w:rFonts w:ascii="Verdana" w:hAnsi="Verdana"/>
          <w:color w:val="000000"/>
          <w:sz w:val="18"/>
          <w:szCs w:val="18"/>
        </w:rPr>
        <w:t>Assumir inteira responsabilidade por danos e/ou prejuízos causados ao TJES ou a terceiros, decorrentes da execução dos serviços ora contratados ou de atos dolosos ou culposos de seus empregados. Assume a CONTRATADA, nesse caso, a obrigação de reparar o dano e/ou prejuízo,</w:t>
      </w:r>
      <w:r>
        <w:rPr>
          <w:rFonts w:ascii="Verdana" w:hAnsi="Verdana"/>
          <w:b/>
          <w:bCs/>
          <w:color w:val="000000"/>
          <w:sz w:val="18"/>
          <w:szCs w:val="18"/>
        </w:rPr>
        <w:t xml:space="preserve"> </w:t>
      </w:r>
      <w:r>
        <w:rPr>
          <w:rFonts w:ascii="Verdana" w:hAnsi="Verdana"/>
          <w:color w:val="000000"/>
          <w:sz w:val="18"/>
          <w:szCs w:val="18"/>
        </w:rPr>
        <w:t>inclusive mediante a reposição do bem danificado em condições idênticas às anteriores ao dano ou o ressarcimento a preços atualizados, dentro de 30 (trinta) dias, após a comunicação, que deverá ser feita por escrito. Caso não o faça dentro do prazo estipulado, a SECRENG/TJES reserva-se o direito de descontar o valor do ressarcimento ou da fatura da medição;</w:t>
      </w:r>
    </w:p>
    <w:p>
      <w:pPr>
        <w:pStyle w:val="NormalWeb"/>
        <w:spacing w:before="280" w:after="280"/>
        <w:jc w:val="both"/>
        <w:rPr>
          <w:rFonts w:ascii="Verdana" w:hAnsi="Verdana"/>
          <w:color w:val="000000"/>
          <w:sz w:val="18"/>
          <w:szCs w:val="18"/>
        </w:rPr>
      </w:pPr>
      <w:r>
        <w:rPr>
          <w:rFonts w:ascii="Verdana" w:hAnsi="Verdana"/>
          <w:b/>
          <w:bCs/>
          <w:color w:val="000000"/>
          <w:sz w:val="18"/>
          <w:szCs w:val="18"/>
        </w:rPr>
        <w:t xml:space="preserve">xxv. </w:t>
      </w:r>
      <w:r>
        <w:rPr>
          <w:rFonts w:ascii="Verdana" w:hAnsi="Verdana"/>
          <w:color w:val="000000"/>
          <w:sz w:val="18"/>
          <w:szCs w:val="18"/>
        </w:rPr>
        <w:t>Responsabilizar-se por quaisquer ônus, despesas, obrigações trabalhistas, previdenciárias, fiscais, de acidente de trabalho, na execução do contrato;</w:t>
      </w:r>
    </w:p>
    <w:p>
      <w:pPr>
        <w:pStyle w:val="NormalWeb"/>
        <w:spacing w:before="280" w:after="280"/>
        <w:jc w:val="both"/>
        <w:rPr>
          <w:rFonts w:ascii="Verdana" w:hAnsi="Verdana"/>
          <w:color w:val="000000"/>
          <w:sz w:val="18"/>
          <w:szCs w:val="18"/>
        </w:rPr>
      </w:pPr>
      <w:r>
        <w:rPr>
          <w:rFonts w:ascii="Verdana" w:hAnsi="Verdana"/>
          <w:b/>
          <w:bCs/>
          <w:color w:val="000000"/>
          <w:sz w:val="18"/>
          <w:szCs w:val="18"/>
        </w:rPr>
        <w:t xml:space="preserve">xxvi. </w:t>
      </w:r>
      <w:r>
        <w:rPr>
          <w:rFonts w:ascii="Verdana" w:hAnsi="Verdana"/>
          <w:color w:val="000000"/>
          <w:sz w:val="18"/>
          <w:szCs w:val="18"/>
        </w:rPr>
        <w:t>Recolher, no prazo estabelecido, valores referentes a penalidades de multa previstas neste instrumento e que lhe sejam aplicadas por meio de procedimento administrativo, decorrentes de descumprimento de obrigações contratuais;</w:t>
      </w:r>
    </w:p>
    <w:p>
      <w:pPr>
        <w:pStyle w:val="NormalWeb"/>
        <w:spacing w:before="280" w:after="280"/>
        <w:jc w:val="both"/>
        <w:rPr>
          <w:rFonts w:ascii="Verdana" w:hAnsi="Verdana"/>
          <w:color w:val="000000"/>
          <w:sz w:val="18"/>
          <w:szCs w:val="18"/>
        </w:rPr>
      </w:pPr>
      <w:r>
        <w:rPr>
          <w:rFonts w:ascii="Verdana" w:hAnsi="Verdana"/>
          <w:b/>
          <w:bCs/>
          <w:color w:val="000000"/>
          <w:sz w:val="18"/>
          <w:szCs w:val="18"/>
        </w:rPr>
        <w:t xml:space="preserve">xxvii. </w:t>
      </w:r>
      <w:r>
        <w:rPr>
          <w:rFonts w:ascii="Verdana" w:hAnsi="Verdana"/>
          <w:color w:val="000000"/>
          <w:sz w:val="18"/>
          <w:szCs w:val="18"/>
        </w:rPr>
        <w:t>A CONTRATADA, no decorrer do processo licitatório deverá examinar os documentos apresentados, efetuar todas as interpretações, deduções e conclusões para definição do seu custo de execução, bem como formular uma estimativa correta das peculiaridades locais que possam influir no cumprimento contratual, de maneira que qualquer eventual falha de sua parte não a isentará das obrigações assumidas, independentemente de suas dificuldades;</w:t>
      </w:r>
    </w:p>
    <w:p>
      <w:pPr>
        <w:pStyle w:val="NormalWeb"/>
        <w:spacing w:before="280" w:after="280"/>
        <w:jc w:val="both"/>
        <w:rPr>
          <w:rFonts w:ascii="Verdana" w:hAnsi="Verdana"/>
          <w:color w:val="000000"/>
          <w:sz w:val="18"/>
          <w:szCs w:val="18"/>
        </w:rPr>
      </w:pPr>
      <w:r>
        <w:rPr>
          <w:rFonts w:ascii="Verdana" w:hAnsi="Verdana"/>
          <w:b/>
          <w:bCs/>
          <w:color w:val="000000"/>
          <w:sz w:val="18"/>
          <w:szCs w:val="18"/>
        </w:rPr>
        <w:t xml:space="preserve">xxviii. </w:t>
      </w:r>
      <w:r>
        <w:rPr>
          <w:rFonts w:ascii="Verdana" w:hAnsi="Verdana"/>
          <w:color w:val="000000"/>
          <w:sz w:val="18"/>
          <w:szCs w:val="18"/>
        </w:rPr>
        <w:t>A CONTRATADA não divulgará nem fornecerá dados ou informações obtidos em razão deste contrato, e não utilizará o nome do Tribunal para fins comerciais ou em campanhas e material de publicidade, salvo com autorização prévia e expressa, emitida oficialmente pela CONTRATANTE.</w:t>
      </w:r>
    </w:p>
    <w:p>
      <w:pPr>
        <w:pStyle w:val="NormalWeb"/>
        <w:spacing w:before="280" w:after="280"/>
        <w:jc w:val="both"/>
        <w:rPr>
          <w:rFonts w:ascii="Verdana" w:hAnsi="Verdana"/>
          <w:color w:val="000000"/>
          <w:sz w:val="18"/>
          <w:szCs w:val="18"/>
        </w:rPr>
      </w:pPr>
      <w:r>
        <w:rPr>
          <w:rFonts w:ascii="Verdana" w:hAnsi="Verdana"/>
          <w:b/>
          <w:bCs/>
          <w:color w:val="000000"/>
          <w:sz w:val="18"/>
          <w:szCs w:val="18"/>
        </w:rPr>
        <w:t xml:space="preserve">xxix. </w:t>
      </w:r>
      <w:r>
        <w:rPr>
          <w:rFonts w:ascii="Verdana" w:hAnsi="Verdana"/>
          <w:color w:val="000000"/>
          <w:sz w:val="18"/>
          <w:szCs w:val="18"/>
        </w:rPr>
        <w:t>Executar diariamente, ao final de cada serviço efetuado, a limpeza dos locais utilizados, os quais deverão ser entregues em perfeitas condições de ocupação e uso.</w:t>
      </w:r>
    </w:p>
    <w:p>
      <w:pPr>
        <w:pStyle w:val="Normal"/>
        <w:widowControl w:val="false"/>
        <w:ind w:right="119" w:hanging="0"/>
        <w:jc w:val="both"/>
        <w:rPr>
          <w:rFonts w:ascii="Verdana" w:hAnsi="Verdana" w:eastAsia="Verdana" w:cs="Verdana"/>
          <w:b/>
          <w:b/>
          <w:sz w:val="18"/>
          <w:szCs w:val="18"/>
        </w:rPr>
      </w:pPr>
      <w:r>
        <w:rPr>
          <w:rFonts w:eastAsia="Verdana" w:cs="Verdana" w:ascii="Verdana" w:hAnsi="Verdana"/>
          <w:b/>
          <w:sz w:val="18"/>
          <w:szCs w:val="18"/>
        </w:rPr>
      </w:r>
    </w:p>
    <w:p>
      <w:pPr>
        <w:pStyle w:val="Normal"/>
        <w:shd w:val="clear" w:color="auto" w:fill="BFBFBF"/>
        <w:jc w:val="center"/>
        <w:rPr>
          <w:rFonts w:ascii="Calibri" w:hAnsi="Calibri" w:eastAsia="Calibri" w:cs="Calibri"/>
        </w:rPr>
      </w:pPr>
      <w:r>
        <w:rPr>
          <w:rFonts w:eastAsia="Verdana" w:cs="Verdana" w:ascii="Verdana" w:hAnsi="Verdana"/>
          <w:b/>
          <w:sz w:val="18"/>
          <w:szCs w:val="18"/>
        </w:rPr>
        <w:t>CLÁUSULA QUINTA - DO PREÇO</w:t>
      </w:r>
    </w:p>
    <w:p>
      <w:pPr>
        <w:pStyle w:val="Normal"/>
        <w:jc w:val="center"/>
        <w:rPr>
          <w:rFonts w:ascii="Verdana" w:hAnsi="Verdana" w:eastAsia="Verdana" w:cs="Verdana"/>
          <w:b/>
          <w:b/>
          <w:sz w:val="18"/>
          <w:szCs w:val="18"/>
        </w:rPr>
      </w:pPr>
      <w:r>
        <w:rPr>
          <w:rFonts w:eastAsia="Verdana" w:cs="Verdana" w:ascii="Verdana" w:hAnsi="Verdana"/>
          <w:b/>
          <w:sz w:val="18"/>
          <w:szCs w:val="18"/>
        </w:rPr>
      </w:r>
    </w:p>
    <w:p>
      <w:pPr>
        <w:pStyle w:val="Normal"/>
        <w:widowControl w:val="false"/>
        <w:jc w:val="both"/>
        <w:rPr>
          <w:rFonts w:ascii="Calibri" w:hAnsi="Calibri" w:eastAsia="Calibri" w:cs="Calibri"/>
        </w:rPr>
      </w:pPr>
      <w:r>
        <w:rPr>
          <w:rFonts w:eastAsia="Verdana" w:cs="Verdana" w:ascii="Verdana" w:hAnsi="Verdana"/>
          <w:b/>
          <w:sz w:val="18"/>
          <w:szCs w:val="18"/>
        </w:rPr>
        <w:t>5.1</w:t>
      </w:r>
      <w:r>
        <w:rPr>
          <w:rFonts w:eastAsia="Verdana" w:cs="Verdana" w:ascii="Verdana" w:hAnsi="Verdana"/>
          <w:sz w:val="18"/>
          <w:szCs w:val="18"/>
        </w:rPr>
        <w:t xml:space="preserve"> - O CONTRATANTE pagará à CONTRATADA os valores abaixo estipulados: </w:t>
      </w:r>
      <w:r>
        <w:rPr>
          <w:rFonts w:eastAsia="Verdana" w:cs="Verdana" w:ascii="Verdana" w:hAnsi="Verdana"/>
          <w:b/>
          <w:i/>
          <w:sz w:val="18"/>
          <w:szCs w:val="18"/>
        </w:rPr>
        <w:t>*[Incluir a planilha de valores ]</w:t>
      </w:r>
    </w:p>
    <w:p>
      <w:pPr>
        <w:pStyle w:val="Normal"/>
        <w:widowControl w:val="false"/>
        <w:jc w:val="both"/>
        <w:rPr>
          <w:rFonts w:ascii="Verdana" w:hAnsi="Verdana" w:eastAsia="Verdana" w:cs="Verdana"/>
          <w:b/>
          <w:b/>
          <w:sz w:val="18"/>
          <w:szCs w:val="18"/>
        </w:rPr>
      </w:pPr>
      <w:r>
        <w:rPr>
          <w:rFonts w:eastAsia="Verdana" w:cs="Verdana" w:ascii="Verdana" w:hAnsi="Verdana"/>
          <w:b/>
          <w:sz w:val="18"/>
          <w:szCs w:val="18"/>
        </w:rPr>
      </w:r>
    </w:p>
    <w:p>
      <w:pPr>
        <w:pStyle w:val="Normal"/>
        <w:widowControl w:val="false"/>
        <w:jc w:val="both"/>
        <w:rPr>
          <w:rFonts w:ascii="Calibri" w:hAnsi="Calibri" w:eastAsia="Calibri" w:cs="Calibri"/>
        </w:rPr>
      </w:pPr>
      <w:r>
        <w:rPr>
          <w:rFonts w:eastAsia="Verdana" w:cs="Verdana" w:ascii="Verdana" w:hAnsi="Verdana"/>
          <w:b/>
          <w:sz w:val="18"/>
          <w:szCs w:val="18"/>
        </w:rPr>
        <w:t xml:space="preserve">5.2 - </w:t>
      </w:r>
      <w:r>
        <w:rPr>
          <w:rFonts w:eastAsia="Verdana" w:cs="Verdana" w:ascii="Verdana" w:hAnsi="Verdana"/>
          <w:sz w:val="18"/>
          <w:szCs w:val="18"/>
        </w:rPr>
        <w:t>O valor total da contratação é de R$.......... (.....).</w:t>
      </w:r>
    </w:p>
    <w:p>
      <w:pPr>
        <w:pStyle w:val="Normal"/>
        <w:widowControl w:val="false"/>
        <w:jc w:val="both"/>
        <w:rPr>
          <w:rFonts w:ascii="Verdana" w:hAnsi="Verdana" w:eastAsia="Verdana" w:cs="Verdana"/>
          <w:sz w:val="18"/>
          <w:szCs w:val="18"/>
        </w:rPr>
      </w:pPr>
      <w:r>
        <w:rPr>
          <w:rFonts w:eastAsia="Verdana" w:cs="Verdana" w:ascii="Verdana" w:hAnsi="Verdana"/>
          <w:sz w:val="18"/>
          <w:szCs w:val="18"/>
        </w:rPr>
      </w:r>
    </w:p>
    <w:p>
      <w:pPr>
        <w:pStyle w:val="Normal"/>
        <w:widowControl w:val="false"/>
        <w:jc w:val="both"/>
        <w:rPr>
          <w:rFonts w:ascii="Calibri" w:hAnsi="Calibri" w:eastAsia="Calibri" w:cs="Calibri"/>
        </w:rPr>
      </w:pPr>
      <w:r>
        <w:rPr>
          <w:rFonts w:eastAsia="Verdana" w:cs="Verdana" w:ascii="Verdana" w:hAnsi="Verdana"/>
          <w:b/>
          <w:sz w:val="18"/>
          <w:szCs w:val="18"/>
        </w:rPr>
        <w:t>5.3 -</w:t>
      </w:r>
      <w:r>
        <w:rPr>
          <w:rFonts w:eastAsia="Verdana" w:cs="Verdana" w:ascii="Verdana" w:hAnsi="Verdana"/>
          <w:sz w:val="18"/>
          <w:szCs w:val="18"/>
        </w:rPr>
        <w:tab/>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pPr>
        <w:pStyle w:val="Normal"/>
        <w:widowControl w:val="false"/>
        <w:jc w:val="both"/>
        <w:rPr>
          <w:rFonts w:ascii="Verdana" w:hAnsi="Verdana" w:eastAsia="Verdana" w:cs="Verdana"/>
          <w:sz w:val="18"/>
          <w:szCs w:val="18"/>
        </w:rPr>
      </w:pPr>
      <w:r>
        <w:rPr>
          <w:rFonts w:eastAsia="Verdana" w:cs="Verdana" w:ascii="Verdana" w:hAnsi="Verdana"/>
          <w:sz w:val="18"/>
          <w:szCs w:val="18"/>
        </w:rPr>
      </w:r>
    </w:p>
    <w:p>
      <w:pPr>
        <w:pStyle w:val="Normal"/>
        <w:widowControl w:val="false"/>
        <w:shd w:val="clear" w:color="auto" w:fill="FFFFFF"/>
        <w:jc w:val="both"/>
        <w:rPr>
          <w:rFonts w:ascii="Verdana" w:hAnsi="Verdana" w:eastAsia="Verdana" w:cs="Verdana"/>
          <w:sz w:val="18"/>
          <w:szCs w:val="18"/>
        </w:rPr>
      </w:pPr>
      <w:r>
        <w:rPr>
          <w:rFonts w:eastAsia="Verdana" w:cs="Verdana" w:ascii="Verdana" w:hAnsi="Verdana"/>
          <w:sz w:val="18"/>
          <w:szCs w:val="18"/>
        </w:rPr>
      </w:r>
    </w:p>
    <w:p>
      <w:pPr>
        <w:pStyle w:val="Normal"/>
        <w:widowControl w:val="false"/>
        <w:shd w:val="clear" w:color="auto" w:fill="BFBFBF"/>
        <w:jc w:val="center"/>
        <w:rPr>
          <w:rFonts w:ascii="Verdana" w:hAnsi="Verdana" w:eastAsia="Verdana" w:cs="Verdana"/>
          <w:b/>
          <w:b/>
          <w:sz w:val="18"/>
          <w:szCs w:val="18"/>
        </w:rPr>
      </w:pPr>
      <w:r>
        <w:rPr>
          <w:rFonts w:eastAsia="Verdana" w:cs="Verdana" w:ascii="Verdana" w:hAnsi="Verdana"/>
          <w:b/>
          <w:sz w:val="18"/>
          <w:szCs w:val="18"/>
        </w:rPr>
        <w:t>CLÁUSULA SEXTA - DO PAGAMENTO</w:t>
      </w:r>
    </w:p>
    <w:p>
      <w:pPr>
        <w:pStyle w:val="Normal"/>
        <w:widowControl w:val="false"/>
        <w:jc w:val="both"/>
        <w:rPr>
          <w:rFonts w:ascii="Verdana" w:hAnsi="Verdana" w:eastAsia="Verdana" w:cs="Verdana"/>
          <w:sz w:val="18"/>
          <w:szCs w:val="18"/>
        </w:rPr>
      </w:pPr>
      <w:r>
        <w:rPr>
          <w:rFonts w:eastAsia="Verdana" w:cs="Verdana" w:ascii="Verdana" w:hAnsi="Verdana"/>
          <w:sz w:val="18"/>
          <w:szCs w:val="18"/>
        </w:rPr>
      </w:r>
    </w:p>
    <w:p>
      <w:pPr>
        <w:pStyle w:val="Normal"/>
        <w:widowControl w:val="false"/>
        <w:jc w:val="both"/>
        <w:rPr>
          <w:rFonts w:ascii="Calibri" w:hAnsi="Calibri" w:eastAsia="Calibri" w:cs="Calibri"/>
        </w:rPr>
      </w:pPr>
      <w:r>
        <w:rPr>
          <w:rFonts w:eastAsia="Verdana" w:cs="Verdana" w:ascii="Verdana" w:hAnsi="Verdana"/>
          <w:b/>
          <w:sz w:val="18"/>
          <w:szCs w:val="18"/>
        </w:rPr>
        <w:t xml:space="preserve">6.1 - </w:t>
      </w:r>
      <w:r>
        <w:rPr>
          <w:rFonts w:eastAsia="Verdana" w:cs="Verdana" w:ascii="Verdana" w:hAnsi="Verdana"/>
          <w:sz w:val="18"/>
          <w:szCs w:val="18"/>
        </w:rPr>
        <w:t>O prazo para pagamento à contratada e demais condições a ele referentes encontram-se definidos no Termo de Referência - Anexo I do Edital.</w:t>
      </w:r>
    </w:p>
    <w:p>
      <w:pPr>
        <w:pStyle w:val="Normal"/>
        <w:widowControl w:val="false"/>
        <w:jc w:val="both"/>
        <w:rPr>
          <w:rFonts w:ascii="Verdana" w:hAnsi="Verdana" w:eastAsia="Verdana" w:cs="Verdana"/>
          <w:sz w:val="18"/>
          <w:szCs w:val="18"/>
        </w:rPr>
      </w:pPr>
      <w:r>
        <w:rPr>
          <w:rFonts w:eastAsia="Verdana" w:cs="Verdana" w:ascii="Verdana" w:hAnsi="Verdana"/>
          <w:sz w:val="18"/>
          <w:szCs w:val="18"/>
        </w:rPr>
      </w:r>
    </w:p>
    <w:p>
      <w:pPr>
        <w:pStyle w:val="Normal"/>
        <w:widowControl w:val="false"/>
        <w:jc w:val="both"/>
        <w:rPr>
          <w:rFonts w:ascii="Verdana" w:hAnsi="Verdana" w:eastAsia="Verdana" w:cs="Verdana"/>
          <w:sz w:val="18"/>
          <w:szCs w:val="18"/>
        </w:rPr>
      </w:pPr>
      <w:r>
        <w:rPr>
          <w:rFonts w:eastAsia="Verdana" w:cs="Verdana" w:ascii="Verdana" w:hAnsi="Verdana"/>
          <w:sz w:val="18"/>
          <w:szCs w:val="18"/>
        </w:rPr>
      </w:r>
    </w:p>
    <w:p>
      <w:pPr>
        <w:pStyle w:val="Normal"/>
        <w:widowControl w:val="false"/>
        <w:shd w:val="clear" w:color="auto" w:fill="BFBFBF"/>
        <w:jc w:val="center"/>
        <w:rPr>
          <w:rFonts w:ascii="Verdana" w:hAnsi="Verdana" w:eastAsia="Verdana" w:cs="Verdana"/>
          <w:b/>
          <w:b/>
          <w:sz w:val="18"/>
          <w:szCs w:val="18"/>
        </w:rPr>
      </w:pPr>
      <w:r>
        <w:rPr>
          <w:rFonts w:eastAsia="Verdana" w:cs="Verdana" w:ascii="Verdana" w:hAnsi="Verdana"/>
          <w:b/>
          <w:sz w:val="18"/>
          <w:szCs w:val="18"/>
        </w:rPr>
        <w:t>CLÁUSULA SÉTIMA - DO REAJUSTE</w:t>
      </w:r>
    </w:p>
    <w:p>
      <w:pPr>
        <w:pStyle w:val="Normal"/>
        <w:widowControl w:val="false"/>
        <w:jc w:val="center"/>
        <w:rPr>
          <w:rFonts w:ascii="Verdana" w:hAnsi="Verdana" w:eastAsia="Verdana" w:cs="Verdana"/>
          <w:b/>
          <w:b/>
          <w:sz w:val="18"/>
          <w:szCs w:val="18"/>
        </w:rPr>
      </w:pPr>
      <w:r>
        <w:rPr>
          <w:rFonts w:eastAsia="Verdana" w:cs="Verdana" w:ascii="Verdana" w:hAnsi="Verdana"/>
          <w:b/>
          <w:sz w:val="18"/>
          <w:szCs w:val="18"/>
        </w:rPr>
      </w:r>
    </w:p>
    <w:p>
      <w:pPr>
        <w:pStyle w:val="Normal"/>
        <w:widowControl w:val="false"/>
        <w:jc w:val="both"/>
        <w:rPr>
          <w:rFonts w:ascii="Calibri" w:hAnsi="Calibri" w:eastAsia="Calibri" w:cs="Calibri"/>
        </w:rPr>
      </w:pPr>
      <w:r>
        <w:rPr>
          <w:rFonts w:eastAsia="Verdana" w:cs="Verdana" w:ascii="Verdana" w:hAnsi="Verdana"/>
          <w:b/>
          <w:sz w:val="18"/>
          <w:szCs w:val="18"/>
        </w:rPr>
        <w:t>7.1 -</w:t>
      </w:r>
      <w:r>
        <w:rPr>
          <w:rFonts w:eastAsia="Verdana" w:cs="Verdana" w:ascii="Verdana" w:hAnsi="Verdana"/>
          <w:sz w:val="18"/>
          <w:szCs w:val="18"/>
        </w:rPr>
        <w:t xml:space="preserve"> Os preços inicialmente contratados são fixos e irreajustáveis no prazo de um ano contado da data do orçamento estimado, em</w:t>
      </w:r>
      <w:r>
        <w:rPr>
          <w:rFonts w:eastAsia="Verdana" w:cs="Verdana" w:ascii="Verdana" w:hAnsi="Verdana"/>
          <w:b/>
          <w:sz w:val="18"/>
          <w:szCs w:val="18"/>
        </w:rPr>
        <w:t xml:space="preserve"> </w:t>
      </w:r>
      <w:r>
        <w:rPr>
          <w:rFonts w:eastAsia="Verdana" w:cs="Verdana" w:ascii="Verdana" w:hAnsi="Verdana"/>
          <w:b/>
          <w:sz w:val="18"/>
          <w:szCs w:val="18"/>
          <w:u w:val="single"/>
        </w:rPr>
        <w:t>29/09/2023</w:t>
      </w:r>
      <w:r>
        <w:rPr>
          <w:rFonts w:eastAsia="Verdana" w:cs="Verdana" w:ascii="Verdana" w:hAnsi="Verdana"/>
          <w:sz w:val="18"/>
          <w:szCs w:val="18"/>
        </w:rPr>
        <w:t>.</w:t>
      </w:r>
    </w:p>
    <w:p>
      <w:pPr>
        <w:pStyle w:val="Normal"/>
        <w:widowControl w:val="false"/>
        <w:jc w:val="both"/>
        <w:rPr>
          <w:rFonts w:ascii="Verdana" w:hAnsi="Verdana" w:eastAsia="Verdana" w:cs="Verdana"/>
          <w:sz w:val="18"/>
          <w:szCs w:val="18"/>
        </w:rPr>
      </w:pPr>
      <w:r>
        <w:rPr>
          <w:rFonts w:eastAsia="Verdana" w:cs="Verdana" w:ascii="Verdana" w:hAnsi="Verdana"/>
          <w:sz w:val="18"/>
          <w:szCs w:val="18"/>
        </w:rPr>
      </w:r>
    </w:p>
    <w:p>
      <w:pPr>
        <w:pStyle w:val="Normal"/>
        <w:widowControl w:val="false"/>
        <w:jc w:val="both"/>
        <w:rPr>
          <w:rFonts w:ascii="Verdana" w:hAnsi="Verdana" w:eastAsia="Verdana" w:cs="Verdana"/>
          <w:sz w:val="18"/>
          <w:szCs w:val="18"/>
        </w:rPr>
      </w:pPr>
      <w:r>
        <w:rPr>
          <w:rFonts w:eastAsia="Verdana" w:cs="Verdana" w:ascii="Verdana" w:hAnsi="Verdana"/>
          <w:b/>
          <w:sz w:val="18"/>
          <w:szCs w:val="18"/>
        </w:rPr>
        <w:t>7.2 -</w:t>
      </w:r>
      <w:r>
        <w:rPr>
          <w:rFonts w:eastAsia="Verdana" w:cs="Verdana" w:ascii="Verdana" w:hAnsi="Verdana"/>
          <w:sz w:val="18"/>
          <w:szCs w:val="18"/>
        </w:rPr>
        <w:t xml:space="preserve"> Após o interregno de um ano, os preços iniciais serão reajustados, mediante a aplicação, pelo contratante, do Índice IPCA.</w:t>
      </w:r>
    </w:p>
    <w:p>
      <w:pPr>
        <w:pStyle w:val="Normal"/>
        <w:widowControl w:val="false"/>
        <w:jc w:val="both"/>
        <w:rPr>
          <w:rFonts w:ascii="Verdana" w:hAnsi="Verdana" w:eastAsia="Verdana" w:cs="Verdana"/>
          <w:sz w:val="18"/>
          <w:szCs w:val="18"/>
        </w:rPr>
      </w:pPr>
      <w:r>
        <w:rPr>
          <w:rFonts w:eastAsia="Verdana" w:cs="Verdana" w:ascii="Verdana" w:hAnsi="Verdana"/>
          <w:sz w:val="18"/>
          <w:szCs w:val="18"/>
        </w:rPr>
      </w:r>
    </w:p>
    <w:p>
      <w:pPr>
        <w:pStyle w:val="Normal"/>
        <w:widowControl w:val="false"/>
        <w:jc w:val="both"/>
        <w:rPr>
          <w:rFonts w:ascii="Calibri" w:hAnsi="Calibri" w:eastAsia="Calibri" w:cs="Calibri"/>
        </w:rPr>
      </w:pPr>
      <w:r>
        <w:rPr>
          <w:rFonts w:eastAsia="Verdana" w:cs="Verdana" w:ascii="Verdana" w:hAnsi="Verdana"/>
          <w:b/>
          <w:sz w:val="18"/>
          <w:szCs w:val="18"/>
        </w:rPr>
        <w:t>7.3 -</w:t>
      </w:r>
      <w:r>
        <w:rPr>
          <w:rFonts w:eastAsia="Verdana" w:cs="Verdana" w:ascii="Verdana" w:hAnsi="Verdana"/>
          <w:sz w:val="18"/>
          <w:szCs w:val="18"/>
        </w:rPr>
        <w:t xml:space="preserve"> Nos reajustes subsequentes ao primeiro, o interregno mínimo de um ano será contado a partir dos efeitos financeiros do último reajuste.</w:t>
      </w:r>
    </w:p>
    <w:p>
      <w:pPr>
        <w:pStyle w:val="Normal"/>
        <w:widowControl w:val="false"/>
        <w:shd w:val="clear" w:color="auto" w:fill="FFFFFF"/>
        <w:jc w:val="both"/>
        <w:rPr>
          <w:rFonts w:ascii="Verdana" w:hAnsi="Verdana" w:eastAsia="Verdana" w:cs="Verdana"/>
          <w:sz w:val="18"/>
          <w:szCs w:val="18"/>
        </w:rPr>
      </w:pPr>
      <w:r>
        <w:rPr>
          <w:rFonts w:eastAsia="Verdana" w:cs="Verdana" w:ascii="Verdana" w:hAnsi="Verdana"/>
          <w:sz w:val="18"/>
          <w:szCs w:val="18"/>
        </w:rPr>
      </w:r>
    </w:p>
    <w:p>
      <w:pPr>
        <w:pStyle w:val="Normal"/>
        <w:widowControl w:val="false"/>
        <w:shd w:val="clear" w:color="auto" w:fill="BFBFBF"/>
        <w:jc w:val="center"/>
        <w:rPr>
          <w:rFonts w:ascii="Verdana" w:hAnsi="Verdana" w:eastAsia="Verdana" w:cs="Verdana"/>
          <w:sz w:val="18"/>
          <w:szCs w:val="18"/>
        </w:rPr>
      </w:pPr>
      <w:r>
        <w:rPr>
          <w:rFonts w:eastAsia="Verdana" w:cs="Verdana" w:ascii="Verdana" w:hAnsi="Verdana"/>
          <w:b/>
          <w:sz w:val="18"/>
          <w:szCs w:val="18"/>
        </w:rPr>
        <w:t xml:space="preserve">CLÁUSULA OITAVA – DA GARANTIA DO OBJETO </w:t>
      </w:r>
    </w:p>
    <w:p>
      <w:pPr>
        <w:pStyle w:val="Normal"/>
        <w:widowControl w:val="false"/>
        <w:jc w:val="both"/>
        <w:rPr>
          <w:rFonts w:ascii="Verdana" w:hAnsi="Verdana" w:eastAsia="Verdana" w:cs="Verdana"/>
          <w:b/>
          <w:b/>
          <w:sz w:val="18"/>
          <w:szCs w:val="18"/>
        </w:rPr>
      </w:pPr>
      <w:r>
        <w:rPr>
          <w:rFonts w:eastAsia="Verdana" w:cs="Verdana" w:ascii="Verdana" w:hAnsi="Verdana"/>
          <w:b/>
          <w:sz w:val="18"/>
          <w:szCs w:val="18"/>
        </w:rPr>
      </w:r>
    </w:p>
    <w:p>
      <w:pPr>
        <w:pStyle w:val="Normal"/>
        <w:widowControl w:val="false"/>
        <w:jc w:val="both"/>
        <w:rPr>
          <w:rFonts w:ascii="Verdana" w:hAnsi="Verdana"/>
          <w:b/>
          <w:b/>
          <w:bCs/>
          <w:i/>
          <w:i/>
          <w:iCs/>
          <w:color w:val="FF0000"/>
          <w:sz w:val="18"/>
          <w:szCs w:val="18"/>
        </w:rPr>
      </w:pPr>
      <w:r>
        <w:rPr>
          <w:rFonts w:eastAsia="Verdana" w:cs="Verdana" w:ascii="Verdana" w:hAnsi="Verdana"/>
          <w:b/>
          <w:sz w:val="18"/>
          <w:szCs w:val="18"/>
        </w:rPr>
        <w:t xml:space="preserve">8.1 - </w:t>
      </w:r>
      <w:r>
        <w:rPr>
          <w:rFonts w:eastAsia="Verdana" w:cs="Verdana" w:ascii="Verdana" w:hAnsi="Verdana"/>
          <w:sz w:val="18"/>
          <w:szCs w:val="18"/>
        </w:rPr>
        <w:t>A</w:t>
      </w:r>
      <w:r>
        <w:rPr>
          <w:rFonts w:ascii="Verdana" w:hAnsi="Verdana"/>
          <w:color w:val="000000"/>
          <w:sz w:val="18"/>
          <w:szCs w:val="18"/>
        </w:rPr>
        <w:t xml:space="preserve"> garantia abaixo descrita deverá cobrir o serviço de substituição e todas as demais despesas para substituição do objeto defeituoso, sem nenhum ônus para a contratante: </w:t>
      </w:r>
      <w:r>
        <w:rPr>
          <w:rFonts w:ascii="Verdana" w:hAnsi="Verdana"/>
          <w:b/>
          <w:bCs/>
          <w:i/>
          <w:iCs/>
          <w:color w:val="FF0000"/>
          <w:sz w:val="18"/>
          <w:szCs w:val="18"/>
        </w:rPr>
        <w:t>(*Preencher abaixo conforme serviço a ser executado nesse contrato)</w:t>
      </w:r>
    </w:p>
    <w:p>
      <w:pPr>
        <w:pStyle w:val="Normal"/>
        <w:widowControl w:val="false"/>
        <w:jc w:val="both"/>
        <w:rPr>
          <w:rFonts w:ascii="Verdana" w:hAnsi="Verdana"/>
          <w:b/>
          <w:b/>
          <w:bCs/>
          <w:i/>
          <w:i/>
          <w:iCs/>
          <w:color w:val="FF0000"/>
          <w:sz w:val="18"/>
          <w:szCs w:val="18"/>
        </w:rPr>
      </w:pPr>
      <w:r>
        <w:rPr>
          <w:rFonts w:ascii="Verdana" w:hAnsi="Verdana"/>
          <w:b/>
          <w:bCs/>
          <w:i/>
          <w:iCs/>
          <w:color w:val="FF0000"/>
          <w:sz w:val="18"/>
          <w:szCs w:val="18"/>
        </w:rPr>
      </w:r>
    </w:p>
    <w:p>
      <w:pPr>
        <w:pStyle w:val="NormalWeb"/>
        <w:spacing w:beforeAutospacing="0" w:before="0" w:afterAutospacing="0" w:after="0"/>
        <w:ind w:left="142" w:hanging="0"/>
        <w:jc w:val="both"/>
        <w:rPr>
          <w:rFonts w:ascii="Verdana" w:hAnsi="Verdana"/>
          <w:color w:val="000000"/>
          <w:sz w:val="18"/>
          <w:szCs w:val="18"/>
        </w:rPr>
      </w:pPr>
      <w:r>
        <w:rPr>
          <w:rFonts w:ascii="Verdana" w:hAnsi="Verdana"/>
          <w:color w:val="000000"/>
          <w:sz w:val="18"/>
          <w:szCs w:val="18"/>
        </w:rPr>
        <w:t xml:space="preserve">a) As </w:t>
      </w:r>
      <w:r>
        <w:rPr>
          <w:rFonts w:ascii="Verdana" w:hAnsi="Verdana"/>
          <w:b/>
          <w:bCs/>
          <w:color w:val="000000"/>
          <w:sz w:val="18"/>
          <w:szCs w:val="18"/>
        </w:rPr>
        <w:t>persianas</w:t>
      </w:r>
      <w:r>
        <w:rPr>
          <w:rFonts w:ascii="Verdana" w:hAnsi="Verdana"/>
          <w:color w:val="000000"/>
          <w:sz w:val="18"/>
          <w:szCs w:val="18"/>
        </w:rPr>
        <w:t xml:space="preserve"> devem ter garantia de </w:t>
      </w:r>
      <w:r>
        <w:rPr>
          <w:rFonts w:ascii="Verdana" w:hAnsi="Verdana"/>
          <w:b/>
          <w:bCs/>
          <w:color w:val="000000"/>
          <w:sz w:val="18"/>
          <w:szCs w:val="18"/>
        </w:rPr>
        <w:t>12 meses</w:t>
      </w:r>
      <w:r>
        <w:rPr>
          <w:rFonts w:ascii="Verdana" w:hAnsi="Verdana"/>
          <w:color w:val="000000"/>
          <w:sz w:val="18"/>
          <w:szCs w:val="18"/>
        </w:rPr>
        <w:t xml:space="preserve"> a partir da instalação. </w:t>
      </w:r>
    </w:p>
    <w:p>
      <w:pPr>
        <w:pStyle w:val="NormalWeb"/>
        <w:spacing w:beforeAutospacing="0" w:before="0" w:afterAutospacing="0" w:after="0"/>
        <w:ind w:left="142" w:hanging="0"/>
        <w:jc w:val="both"/>
        <w:rPr>
          <w:rFonts w:ascii="Verdana" w:hAnsi="Verdana"/>
          <w:color w:val="000000"/>
          <w:sz w:val="18"/>
          <w:szCs w:val="18"/>
        </w:rPr>
      </w:pPr>
      <w:r>
        <w:rPr>
          <w:rFonts w:ascii="Verdana" w:hAnsi="Verdana"/>
          <w:color w:val="000000"/>
          <w:sz w:val="18"/>
          <w:szCs w:val="18"/>
        </w:rPr>
        <w:t xml:space="preserve">b) As </w:t>
      </w:r>
      <w:r>
        <w:rPr>
          <w:rFonts w:ascii="Verdana" w:hAnsi="Verdana"/>
          <w:b/>
          <w:bCs/>
          <w:color w:val="000000"/>
          <w:sz w:val="18"/>
          <w:szCs w:val="18"/>
        </w:rPr>
        <w:t>películas de controle solar</w:t>
      </w:r>
      <w:r>
        <w:rPr>
          <w:rFonts w:ascii="Verdana" w:hAnsi="Verdana"/>
          <w:color w:val="000000"/>
          <w:sz w:val="18"/>
          <w:szCs w:val="18"/>
        </w:rPr>
        <w:t xml:space="preserve"> terão garantia de </w:t>
      </w:r>
      <w:r>
        <w:rPr>
          <w:rFonts w:ascii="Verdana" w:hAnsi="Verdana"/>
          <w:b/>
          <w:bCs/>
          <w:color w:val="000000"/>
          <w:sz w:val="18"/>
          <w:szCs w:val="18"/>
        </w:rPr>
        <w:t>5 anos</w:t>
      </w:r>
      <w:r>
        <w:rPr>
          <w:rFonts w:ascii="Verdana" w:hAnsi="Verdana"/>
          <w:color w:val="000000"/>
          <w:sz w:val="18"/>
          <w:szCs w:val="18"/>
        </w:rPr>
        <w:t>, com certificado de garantia emitido pelo fabricante.</w:t>
      </w:r>
    </w:p>
    <w:p>
      <w:pPr>
        <w:pStyle w:val="NormalWeb"/>
        <w:spacing w:beforeAutospacing="0" w:before="0" w:afterAutospacing="0" w:after="0"/>
        <w:ind w:left="142" w:hanging="0"/>
        <w:jc w:val="both"/>
        <w:rPr>
          <w:rFonts w:ascii="Verdana" w:hAnsi="Verdana"/>
          <w:b/>
          <w:b/>
          <w:bCs/>
          <w:color w:val="000000"/>
          <w:sz w:val="18"/>
          <w:szCs w:val="18"/>
        </w:rPr>
      </w:pPr>
      <w:r>
        <w:rPr>
          <w:rFonts w:ascii="Verdana" w:hAnsi="Verdana"/>
          <w:color w:val="000000"/>
          <w:sz w:val="18"/>
          <w:szCs w:val="18"/>
        </w:rPr>
        <w:t xml:space="preserve">c) As </w:t>
      </w:r>
      <w:r>
        <w:rPr>
          <w:rFonts w:ascii="Verdana" w:hAnsi="Verdana"/>
          <w:b/>
          <w:bCs/>
          <w:color w:val="000000"/>
          <w:sz w:val="18"/>
          <w:szCs w:val="18"/>
        </w:rPr>
        <w:t>películas sólidas</w:t>
      </w:r>
      <w:r>
        <w:rPr>
          <w:rFonts w:ascii="Verdana" w:hAnsi="Verdana"/>
          <w:color w:val="000000"/>
          <w:sz w:val="18"/>
          <w:szCs w:val="18"/>
        </w:rPr>
        <w:t xml:space="preserve"> deverão ter garantia de </w:t>
      </w:r>
      <w:r>
        <w:rPr>
          <w:rFonts w:ascii="Verdana" w:hAnsi="Verdana"/>
          <w:b/>
          <w:bCs/>
          <w:color w:val="000000"/>
          <w:sz w:val="18"/>
          <w:szCs w:val="18"/>
        </w:rPr>
        <w:t>12 meses.</w:t>
      </w:r>
    </w:p>
    <w:p>
      <w:pPr>
        <w:pStyle w:val="NormalWeb"/>
        <w:spacing w:beforeAutospacing="0" w:before="0" w:afterAutospacing="0" w:after="0"/>
        <w:ind w:left="142" w:hanging="0"/>
        <w:jc w:val="both"/>
        <w:rPr>
          <w:rFonts w:ascii="Verdana" w:hAnsi="Verdana"/>
          <w:b/>
          <w:b/>
          <w:bCs/>
          <w:color w:val="000000"/>
          <w:sz w:val="18"/>
          <w:szCs w:val="18"/>
        </w:rPr>
      </w:pPr>
      <w:r>
        <w:rPr>
          <w:rFonts w:ascii="Verdana" w:hAnsi="Verdana"/>
          <w:b/>
          <w:bCs/>
          <w:color w:val="000000"/>
          <w:sz w:val="18"/>
          <w:szCs w:val="18"/>
        </w:rPr>
      </w:r>
    </w:p>
    <w:p>
      <w:pPr>
        <w:pStyle w:val="NormalWeb"/>
        <w:spacing w:beforeAutospacing="0" w:before="0" w:afterAutospacing="0" w:after="0"/>
        <w:ind w:left="142" w:hanging="0"/>
        <w:jc w:val="both"/>
        <w:rPr>
          <w:rFonts w:ascii="Verdana" w:hAnsi="Verdana"/>
          <w:b/>
          <w:b/>
          <w:bCs/>
          <w:color w:val="000000"/>
          <w:sz w:val="18"/>
          <w:szCs w:val="18"/>
        </w:rPr>
      </w:pPr>
      <w:r>
        <w:rPr>
          <w:rFonts w:ascii="Verdana" w:hAnsi="Verdana"/>
          <w:b/>
          <w:bCs/>
          <w:color w:val="000000"/>
          <w:sz w:val="18"/>
          <w:szCs w:val="18"/>
        </w:rPr>
      </w:r>
    </w:p>
    <w:p>
      <w:pPr>
        <w:pStyle w:val="Normal"/>
        <w:shd w:val="clear" w:color="auto" w:fill="BFBFBF"/>
        <w:jc w:val="center"/>
        <w:rPr>
          <w:rFonts w:ascii="Calibri" w:hAnsi="Calibri" w:eastAsia="Calibri" w:cs="Calibri"/>
        </w:rPr>
      </w:pPr>
      <w:r>
        <w:rPr>
          <w:rFonts w:eastAsia="Verdana" w:cs="Verdana" w:ascii="Verdana" w:hAnsi="Verdana"/>
          <w:b/>
          <w:sz w:val="18"/>
          <w:szCs w:val="18"/>
        </w:rPr>
        <w:t>CLÁUSULA NONA – DOS PRAZOS E DOS LOCAIS DE INSTALAÇÃO</w:t>
      </w:r>
    </w:p>
    <w:p>
      <w:pPr>
        <w:pStyle w:val="Normal"/>
        <w:widowControl w:val="false"/>
        <w:jc w:val="both"/>
        <w:rPr>
          <w:rFonts w:ascii="Verdana" w:hAnsi="Verdana"/>
          <w:b/>
          <w:b/>
          <w:bCs/>
          <w:color w:val="000000"/>
          <w:sz w:val="18"/>
          <w:szCs w:val="18"/>
        </w:rPr>
      </w:pPr>
      <w:r>
        <w:rPr>
          <w:rFonts w:ascii="Verdana" w:hAnsi="Verdana"/>
          <w:b/>
          <w:bCs/>
          <w:color w:val="000000"/>
          <w:sz w:val="18"/>
          <w:szCs w:val="18"/>
        </w:rPr>
      </w:r>
    </w:p>
    <w:p>
      <w:pPr>
        <w:pStyle w:val="Normal"/>
        <w:widowControl w:val="false"/>
        <w:jc w:val="both"/>
        <w:rPr>
          <w:rFonts w:ascii="Verdana" w:hAnsi="Verdana"/>
          <w:color w:val="000000"/>
          <w:sz w:val="18"/>
          <w:szCs w:val="18"/>
        </w:rPr>
      </w:pPr>
      <w:r>
        <w:rPr>
          <w:rFonts w:ascii="Verdana" w:hAnsi="Verdana"/>
          <w:b/>
          <w:bCs/>
          <w:color w:val="000000"/>
          <w:sz w:val="18"/>
          <w:szCs w:val="18"/>
        </w:rPr>
        <w:t xml:space="preserve">9.1 – </w:t>
      </w:r>
      <w:r>
        <w:rPr>
          <w:rFonts w:ascii="Verdana" w:hAnsi="Verdana"/>
          <w:color w:val="000000"/>
          <w:sz w:val="18"/>
          <w:szCs w:val="18"/>
        </w:rPr>
        <w:t>Os prazos e locais de instalação serão informados na Ordem de Serviço emitida pelo Contratante, em conformidade com o disposto no Termo de Referência.</w:t>
      </w:r>
    </w:p>
    <w:p>
      <w:pPr>
        <w:pStyle w:val="Normal"/>
        <w:widowControl w:val="false"/>
        <w:jc w:val="both"/>
        <w:rPr>
          <w:rFonts w:ascii="Verdana" w:hAnsi="Verdana" w:eastAsia="Verdana" w:cs="Verdana"/>
          <w:sz w:val="18"/>
          <w:szCs w:val="18"/>
        </w:rPr>
      </w:pPr>
      <w:r>
        <w:rPr>
          <w:rFonts w:eastAsia="Verdana" w:cs="Verdana" w:ascii="Verdana" w:hAnsi="Verdana"/>
          <w:sz w:val="18"/>
          <w:szCs w:val="18"/>
        </w:rPr>
      </w:r>
    </w:p>
    <w:p>
      <w:pPr>
        <w:pStyle w:val="Normal"/>
        <w:shd w:val="clear" w:color="auto" w:fill="BFBFBF"/>
        <w:jc w:val="center"/>
        <w:rPr>
          <w:rFonts w:ascii="Calibri" w:hAnsi="Calibri" w:eastAsia="Calibri" w:cs="Calibri"/>
        </w:rPr>
      </w:pPr>
      <w:r>
        <w:rPr>
          <w:rFonts w:eastAsia="Verdana" w:cs="Verdana" w:ascii="Verdana" w:hAnsi="Verdana"/>
          <w:b/>
          <w:sz w:val="18"/>
          <w:szCs w:val="18"/>
        </w:rPr>
        <w:t>CLÁUSULA DÉCIMA - DA DOTAÇÃO ORÇAMENTÁRIA</w:t>
      </w:r>
    </w:p>
    <w:p>
      <w:pPr>
        <w:pStyle w:val="Normal"/>
        <w:jc w:val="center"/>
        <w:rPr>
          <w:rFonts w:ascii="Verdana" w:hAnsi="Verdana" w:eastAsia="Verdana" w:cs="Verdana"/>
          <w:b/>
          <w:b/>
          <w:sz w:val="18"/>
          <w:szCs w:val="18"/>
        </w:rPr>
      </w:pPr>
      <w:r>
        <w:rPr>
          <w:rFonts w:eastAsia="Verdana" w:cs="Verdana" w:ascii="Verdana" w:hAnsi="Verdana"/>
          <w:b/>
          <w:sz w:val="18"/>
          <w:szCs w:val="18"/>
        </w:rPr>
      </w:r>
    </w:p>
    <w:p>
      <w:pPr>
        <w:pStyle w:val="Normal"/>
        <w:jc w:val="both"/>
        <w:rPr>
          <w:rFonts w:ascii="Calibri" w:hAnsi="Calibri" w:eastAsia="Calibri" w:cs="Calibri"/>
        </w:rPr>
      </w:pPr>
      <w:r>
        <w:rPr>
          <w:rFonts w:eastAsia="Verdana" w:cs="Verdana" w:ascii="Verdana" w:hAnsi="Verdana"/>
          <w:b/>
          <w:sz w:val="18"/>
          <w:szCs w:val="18"/>
        </w:rPr>
        <w:t>10.1</w:t>
      </w:r>
      <w:r>
        <w:rPr>
          <w:rFonts w:eastAsia="Verdana" w:cs="Verdana" w:ascii="Verdana" w:hAnsi="Verdana"/>
          <w:sz w:val="18"/>
          <w:szCs w:val="18"/>
        </w:rPr>
        <w:t xml:space="preserve"> - Os recursos financeiros para pagamento dos encargos resultantes do presente contrato correrão à conta da Dotação </w:t>
      </w:r>
      <w:r>
        <w:rPr>
          <w:rFonts w:eastAsia="Verdana" w:cs="Verdana" w:ascii="Verdana" w:hAnsi="Verdana"/>
          <w:b/>
          <w:sz w:val="18"/>
          <w:szCs w:val="18"/>
        </w:rPr>
        <w:t>10.03.901.02.061.0023.2078</w:t>
      </w:r>
      <w:r>
        <w:rPr>
          <w:rFonts w:eastAsia="Verdana" w:cs="Verdana" w:ascii="Verdana" w:hAnsi="Verdana"/>
          <w:sz w:val="18"/>
          <w:szCs w:val="18"/>
        </w:rPr>
        <w:t xml:space="preserve">, Elementos de Despesa </w:t>
      </w:r>
      <w:r>
        <w:rPr>
          <w:rFonts w:eastAsia="Verdana" w:cs="Verdana" w:ascii="Verdana" w:hAnsi="Verdana"/>
          <w:b/>
          <w:sz w:val="18"/>
          <w:szCs w:val="18"/>
        </w:rPr>
        <w:t xml:space="preserve">xxxx </w:t>
      </w:r>
      <w:r>
        <w:rPr>
          <w:rFonts w:eastAsia="Verdana" w:cs="Verdana" w:ascii="Verdana" w:hAnsi="Verdana"/>
          <w:b/>
          <w:i/>
          <w:color w:val="FF0000"/>
          <w:sz w:val="18"/>
          <w:szCs w:val="18"/>
        </w:rPr>
        <w:t>(*Inserir os elementos correspondentes a Nota de Empenho)</w:t>
      </w:r>
      <w:r>
        <w:rPr>
          <w:rFonts w:eastAsia="Verdana" w:cs="Verdana" w:ascii="Verdana" w:hAnsi="Verdana"/>
          <w:b/>
          <w:color w:val="FF0000"/>
          <w:sz w:val="18"/>
          <w:szCs w:val="18"/>
        </w:rPr>
        <w:t xml:space="preserve"> </w:t>
      </w:r>
      <w:r>
        <w:rPr>
          <w:rFonts w:eastAsia="Verdana" w:cs="Verdana" w:ascii="Verdana" w:hAnsi="Verdana"/>
          <w:sz w:val="18"/>
          <w:szCs w:val="18"/>
        </w:rPr>
        <w:t>do Fundo Especial do Poder Judiciário para o corrente exercício financeiro.</w:t>
      </w:r>
    </w:p>
    <w:p>
      <w:pPr>
        <w:pStyle w:val="Normal"/>
        <w:jc w:val="both"/>
        <w:rPr>
          <w:rFonts w:ascii="Verdana" w:hAnsi="Verdana" w:eastAsia="Verdana" w:cs="Verdana"/>
          <w:sz w:val="18"/>
          <w:szCs w:val="18"/>
        </w:rPr>
      </w:pPr>
      <w:r>
        <w:rPr>
          <w:rFonts w:eastAsia="Verdana" w:cs="Verdana" w:ascii="Verdana" w:hAnsi="Verdana"/>
          <w:sz w:val="18"/>
          <w:szCs w:val="18"/>
        </w:rPr>
      </w:r>
    </w:p>
    <w:p>
      <w:pPr>
        <w:pStyle w:val="Normal"/>
        <w:widowControl w:val="false"/>
        <w:shd w:val="clear" w:color="auto" w:fill="BFBFBF"/>
        <w:jc w:val="center"/>
        <w:rPr>
          <w:rFonts w:ascii="Calibri" w:hAnsi="Calibri" w:eastAsia="Calibri" w:cs="Calibri"/>
        </w:rPr>
      </w:pPr>
      <w:r>
        <w:rPr>
          <w:rFonts w:eastAsia="Verdana" w:cs="Verdana" w:ascii="Verdana" w:hAnsi="Verdana"/>
          <w:b/>
          <w:sz w:val="18"/>
          <w:szCs w:val="18"/>
        </w:rPr>
        <w:t>CLÁUSULA DÉCIMA PRIMEIRA - DAS PENALIDADES</w:t>
      </w:r>
    </w:p>
    <w:p>
      <w:pPr>
        <w:pStyle w:val="Normal"/>
        <w:widowControl w:val="false"/>
        <w:jc w:val="both"/>
        <w:rPr>
          <w:rFonts w:ascii="Verdana" w:hAnsi="Verdana" w:eastAsia="Verdana" w:cs="Verdana"/>
          <w:b/>
          <w:b/>
          <w:sz w:val="18"/>
          <w:szCs w:val="18"/>
        </w:rPr>
      </w:pPr>
      <w:r>
        <w:rPr>
          <w:rFonts w:eastAsia="Verdana" w:cs="Verdana" w:ascii="Verdana" w:hAnsi="Verdana"/>
          <w:b/>
          <w:sz w:val="18"/>
          <w:szCs w:val="18"/>
        </w:rPr>
      </w:r>
    </w:p>
    <w:p>
      <w:pPr>
        <w:pStyle w:val="NormalWeb"/>
        <w:spacing w:beforeAutospacing="0" w:before="0" w:after="280"/>
        <w:jc w:val="both"/>
        <w:rPr>
          <w:rFonts w:ascii="Verdana" w:hAnsi="Verdana"/>
          <w:color w:val="000000"/>
          <w:sz w:val="18"/>
          <w:szCs w:val="18"/>
        </w:rPr>
      </w:pPr>
      <w:r>
        <w:rPr>
          <w:rFonts w:eastAsia="Verdana" w:cs="Verdana" w:ascii="Verdana" w:hAnsi="Verdana"/>
          <w:b/>
          <w:sz w:val="18"/>
          <w:szCs w:val="18"/>
        </w:rPr>
        <w:t>11.1 –</w:t>
      </w:r>
      <w:r>
        <w:rPr>
          <w:rFonts w:eastAsia="Verdana" w:cs="Verdana" w:ascii="Verdana" w:hAnsi="Verdana"/>
          <w:sz w:val="18"/>
          <w:szCs w:val="18"/>
        </w:rPr>
        <w:t xml:space="preserve"> </w:t>
      </w:r>
      <w:r>
        <w:rPr>
          <w:rStyle w:val="Strong"/>
          <w:rFonts w:ascii="Verdana" w:hAnsi="Verdana"/>
          <w:color w:val="000000"/>
          <w:sz w:val="18"/>
          <w:szCs w:val="18"/>
        </w:rPr>
        <w:t>DAS MULTAS:</w:t>
      </w:r>
    </w:p>
    <w:p>
      <w:pPr>
        <w:pStyle w:val="NormalWeb"/>
        <w:spacing w:before="280" w:after="280"/>
        <w:jc w:val="both"/>
        <w:rPr>
          <w:rFonts w:ascii="Verdana" w:hAnsi="Verdana"/>
          <w:color w:val="000000"/>
          <w:sz w:val="18"/>
          <w:szCs w:val="18"/>
        </w:rPr>
      </w:pPr>
      <w:r>
        <w:rPr>
          <w:rFonts w:ascii="Verdana" w:hAnsi="Verdana"/>
          <w:b/>
          <w:bCs/>
          <w:color w:val="000000"/>
          <w:sz w:val="18"/>
          <w:szCs w:val="18"/>
        </w:rPr>
        <w:t>11.1.1 -</w:t>
      </w:r>
      <w:r>
        <w:rPr>
          <w:rFonts w:ascii="Verdana" w:hAnsi="Verdana"/>
          <w:color w:val="000000"/>
          <w:sz w:val="18"/>
          <w:szCs w:val="18"/>
        </w:rPr>
        <w:t xml:space="preserve"> Por atraso na prestação das obrigações contratuais listadas a seguir, a contratada estará sujeita a multa de R$ 500,00 (quinhentos reais) por item em atraso, acrescidos de 50,00 (cinquenta reais) ao dia até o cumprimento da obrigação, ou até o limite de 60 dias.</w:t>
      </w:r>
    </w:p>
    <w:p>
      <w:pPr>
        <w:pStyle w:val="NormalWeb"/>
        <w:spacing w:beforeAutospacing="0" w:before="0" w:afterAutospacing="0" w:after="0"/>
        <w:ind w:left="284" w:hanging="0"/>
        <w:jc w:val="both"/>
        <w:rPr>
          <w:rFonts w:ascii="Verdana" w:hAnsi="Verdana"/>
          <w:color w:val="000000"/>
          <w:sz w:val="18"/>
          <w:szCs w:val="18"/>
        </w:rPr>
      </w:pPr>
      <w:r>
        <w:rPr>
          <w:rFonts w:ascii="Verdana" w:hAnsi="Verdana"/>
          <w:color w:val="000000"/>
          <w:sz w:val="18"/>
          <w:szCs w:val="18"/>
        </w:rPr>
        <w:t>a) atraso na entrega correta de documentos;</w:t>
      </w:r>
    </w:p>
    <w:p>
      <w:pPr>
        <w:pStyle w:val="NormalWeb"/>
        <w:spacing w:beforeAutospacing="0" w:before="0" w:afterAutospacing="0" w:after="0"/>
        <w:ind w:left="284" w:hanging="0"/>
        <w:jc w:val="both"/>
        <w:rPr>
          <w:rFonts w:ascii="Verdana" w:hAnsi="Verdana"/>
          <w:color w:val="000000"/>
          <w:sz w:val="18"/>
          <w:szCs w:val="18"/>
        </w:rPr>
      </w:pPr>
      <w:r>
        <w:rPr>
          <w:rFonts w:ascii="Verdana" w:hAnsi="Verdana"/>
          <w:color w:val="000000"/>
          <w:sz w:val="18"/>
          <w:szCs w:val="18"/>
        </w:rPr>
        <w:t>b) aplicação de material em desconformidade com a proposta;</w:t>
      </w:r>
    </w:p>
    <w:p>
      <w:pPr>
        <w:pStyle w:val="NormalWeb"/>
        <w:spacing w:beforeAutospacing="0" w:before="0" w:afterAutospacing="0" w:after="0"/>
        <w:ind w:left="284" w:hanging="0"/>
        <w:jc w:val="both"/>
        <w:rPr>
          <w:rFonts w:ascii="Verdana" w:hAnsi="Verdana"/>
          <w:color w:val="000000"/>
          <w:sz w:val="18"/>
          <w:szCs w:val="18"/>
        </w:rPr>
      </w:pPr>
      <w:r>
        <w:rPr>
          <w:rFonts w:ascii="Verdana" w:hAnsi="Verdana"/>
          <w:color w:val="000000"/>
          <w:sz w:val="18"/>
          <w:szCs w:val="18"/>
        </w:rPr>
        <w:t>c) descarte inadequado de material.</w:t>
      </w:r>
    </w:p>
    <w:p>
      <w:pPr>
        <w:pStyle w:val="NormalWeb"/>
        <w:spacing w:beforeAutospacing="0" w:before="0" w:afterAutospacing="0" w:after="0"/>
        <w:ind w:left="284" w:hanging="0"/>
        <w:jc w:val="both"/>
        <w:rPr>
          <w:rFonts w:ascii="Verdana" w:hAnsi="Verdana"/>
          <w:color w:val="000000"/>
          <w:sz w:val="18"/>
          <w:szCs w:val="18"/>
        </w:rPr>
      </w:pPr>
      <w:r>
        <w:rPr>
          <w:rFonts w:ascii="Verdana" w:hAnsi="Verdana"/>
          <w:color w:val="000000"/>
          <w:sz w:val="18"/>
          <w:szCs w:val="18"/>
        </w:rPr>
      </w:r>
    </w:p>
    <w:p>
      <w:pPr>
        <w:pStyle w:val="NormalWeb"/>
        <w:spacing w:beforeAutospacing="0" w:before="0" w:after="280"/>
        <w:jc w:val="both"/>
        <w:rPr>
          <w:rFonts w:ascii="Verdana" w:hAnsi="Verdana"/>
          <w:color w:val="000000"/>
          <w:sz w:val="18"/>
          <w:szCs w:val="18"/>
        </w:rPr>
      </w:pPr>
      <w:r>
        <w:rPr>
          <w:rFonts w:ascii="Verdana" w:hAnsi="Verdana"/>
          <w:b/>
          <w:bCs/>
          <w:color w:val="000000"/>
          <w:sz w:val="18"/>
          <w:szCs w:val="18"/>
        </w:rPr>
        <w:t>11.1.2 -</w:t>
      </w:r>
      <w:r>
        <w:rPr>
          <w:rFonts w:ascii="Verdana" w:hAnsi="Verdana"/>
          <w:color w:val="000000"/>
          <w:sz w:val="18"/>
          <w:szCs w:val="18"/>
        </w:rPr>
        <w:t xml:space="preserve"> Em caso de descumprimentos específicos na execução do contrato, a contratada estará sujeita às seguintes multas:</w:t>
      </w:r>
    </w:p>
    <w:p>
      <w:pPr>
        <w:pStyle w:val="NormalWeb"/>
        <w:spacing w:beforeAutospacing="0" w:before="0" w:afterAutospacing="0" w:after="0"/>
        <w:ind w:left="284" w:hanging="0"/>
        <w:jc w:val="both"/>
        <w:rPr>
          <w:rFonts w:ascii="Verdana" w:hAnsi="Verdana"/>
          <w:color w:val="000000"/>
          <w:sz w:val="18"/>
          <w:szCs w:val="18"/>
        </w:rPr>
      </w:pPr>
      <w:r>
        <w:rPr>
          <w:rFonts w:ascii="Verdana" w:hAnsi="Verdana"/>
          <w:b/>
          <w:bCs/>
          <w:color w:val="000000"/>
          <w:sz w:val="18"/>
          <w:szCs w:val="18"/>
        </w:rPr>
        <w:t>a) Multa de R$ 1.000,00</w:t>
      </w:r>
      <w:r>
        <w:rPr>
          <w:rFonts w:ascii="Verdana" w:hAnsi="Verdana"/>
          <w:color w:val="000000"/>
          <w:sz w:val="18"/>
          <w:szCs w:val="18"/>
        </w:rPr>
        <w:t xml:space="preserve"> (mil reais), acrescidos de 50,00 (cinquenta reais) ao dia até o cumprimento da obrigação, ou até o limite de 60 dias, pelo atraso superior a 15 dias na execução do cronograma apresentado pela contratada, desde que não exista justificativa aprovada pelo fiscal técnico. </w:t>
      </w:r>
    </w:p>
    <w:p>
      <w:pPr>
        <w:pStyle w:val="NormalWeb"/>
        <w:spacing w:beforeAutospacing="0" w:before="0" w:afterAutospacing="0" w:after="0"/>
        <w:ind w:left="284" w:hanging="0"/>
        <w:jc w:val="both"/>
        <w:rPr>
          <w:rFonts w:ascii="Verdana" w:hAnsi="Verdana"/>
          <w:color w:val="000000"/>
          <w:sz w:val="18"/>
          <w:szCs w:val="18"/>
        </w:rPr>
      </w:pPr>
      <w:r>
        <w:rPr>
          <w:rFonts w:ascii="Verdana" w:hAnsi="Verdana"/>
          <w:b/>
          <w:bCs/>
          <w:color w:val="000000"/>
          <w:sz w:val="18"/>
          <w:szCs w:val="18"/>
        </w:rPr>
        <w:t>b) Multa de R$ 2.000,00</w:t>
      </w:r>
      <w:r>
        <w:rPr>
          <w:rFonts w:ascii="Verdana" w:hAnsi="Verdana"/>
          <w:color w:val="000000"/>
          <w:sz w:val="18"/>
          <w:szCs w:val="18"/>
        </w:rPr>
        <w:t xml:space="preserve"> (dois mil reais) pela não manutenção, durante a vigência contratual, de todas as condições de habilitação e qualificação exigidas na licitação, por ocorrência. A abertura de processo administrativo para análise da conduta e aplicação de penalidade somente ocorrerá após a contratada ser notificada e passados 20 (vinte) dias úteis da notificação sem a regularização da situação ou demonstração inequívoca da ausência de culpa da contratada.</w:t>
      </w:r>
    </w:p>
    <w:p>
      <w:pPr>
        <w:pStyle w:val="NormalWeb"/>
        <w:spacing w:beforeAutospacing="0" w:before="0" w:afterAutospacing="0" w:after="0"/>
        <w:ind w:left="284" w:hanging="0"/>
        <w:jc w:val="both"/>
        <w:rPr>
          <w:rFonts w:ascii="Verdana" w:hAnsi="Verdana"/>
          <w:color w:val="000000"/>
          <w:sz w:val="18"/>
          <w:szCs w:val="18"/>
        </w:rPr>
      </w:pPr>
      <w:r>
        <w:rPr>
          <w:rFonts w:ascii="Verdana" w:hAnsi="Verdana"/>
          <w:b/>
          <w:bCs/>
          <w:color w:val="000000"/>
          <w:sz w:val="18"/>
          <w:szCs w:val="18"/>
        </w:rPr>
        <w:t>c) Multa de R$ 5.000,00</w:t>
      </w:r>
      <w:r>
        <w:rPr>
          <w:rFonts w:ascii="Verdana" w:hAnsi="Verdana"/>
          <w:color w:val="000000"/>
          <w:sz w:val="18"/>
          <w:szCs w:val="18"/>
        </w:rPr>
        <w:t xml:space="preserve"> (cinco mil reais) em caso de subcontratação irregular, podendo ser aplicada apenas uma vez a cada seis meses de vigência contratual.</w:t>
      </w:r>
    </w:p>
    <w:p>
      <w:pPr>
        <w:pStyle w:val="NormalWeb"/>
        <w:spacing w:beforeAutospacing="0" w:before="0" w:afterAutospacing="0" w:after="0"/>
        <w:ind w:left="284" w:hanging="0"/>
        <w:jc w:val="both"/>
        <w:rPr>
          <w:rFonts w:ascii="Verdana" w:hAnsi="Verdana"/>
          <w:color w:val="000000"/>
          <w:sz w:val="18"/>
          <w:szCs w:val="18"/>
        </w:rPr>
      </w:pPr>
      <w:r>
        <w:rPr>
          <w:rFonts w:ascii="Verdana" w:hAnsi="Verdana"/>
          <w:b/>
          <w:bCs/>
          <w:color w:val="000000"/>
          <w:sz w:val="18"/>
          <w:szCs w:val="18"/>
        </w:rPr>
        <w:t>d) Multa de 20% do valor do contrato</w:t>
      </w:r>
      <w:r>
        <w:rPr>
          <w:rFonts w:ascii="Verdana" w:hAnsi="Verdana"/>
          <w:color w:val="000000"/>
          <w:sz w:val="18"/>
          <w:szCs w:val="18"/>
        </w:rPr>
        <w:t xml:space="preserve"> em caso de inexecução total do contrato.</w:t>
      </w:r>
    </w:p>
    <w:p>
      <w:pPr>
        <w:pStyle w:val="NormalWeb"/>
        <w:spacing w:before="280" w:after="280"/>
        <w:jc w:val="both"/>
        <w:rPr>
          <w:rFonts w:ascii="Verdana" w:hAnsi="Verdana"/>
          <w:color w:val="000000"/>
          <w:sz w:val="18"/>
          <w:szCs w:val="18"/>
        </w:rPr>
      </w:pPr>
      <w:r>
        <w:rPr>
          <w:rFonts w:ascii="Verdana" w:hAnsi="Verdana"/>
          <w:b/>
          <w:bCs/>
          <w:color w:val="000000"/>
          <w:sz w:val="18"/>
          <w:szCs w:val="18"/>
        </w:rPr>
        <w:t>11.1.3 -</w:t>
      </w:r>
      <w:r>
        <w:rPr>
          <w:rFonts w:ascii="Verdana" w:hAnsi="Verdana"/>
          <w:color w:val="000000"/>
          <w:sz w:val="18"/>
          <w:szCs w:val="18"/>
        </w:rPr>
        <w:t xml:space="preserve"> A contratada não incorrerá em mora quando ocorrerem prorrogações de prazos concedidas pelo contratante, em razão de impedimentos comprovados, por fato de terceiros, para o fornecimento dos bens, ou concessão de prazos adicionais, prévia e expressamente ajustados, dentro dos limites previstos na legislação vigente.</w:t>
      </w:r>
    </w:p>
    <w:p>
      <w:pPr>
        <w:pStyle w:val="NormalWeb"/>
        <w:spacing w:before="280" w:after="280"/>
        <w:jc w:val="both"/>
        <w:rPr>
          <w:rFonts w:ascii="Verdana" w:hAnsi="Verdana"/>
          <w:color w:val="000000"/>
          <w:sz w:val="18"/>
          <w:szCs w:val="18"/>
        </w:rPr>
      </w:pPr>
      <w:r>
        <w:rPr>
          <w:rFonts w:ascii="Verdana" w:hAnsi="Verdana"/>
          <w:b/>
          <w:bCs/>
          <w:color w:val="000000"/>
          <w:sz w:val="18"/>
          <w:szCs w:val="18"/>
        </w:rPr>
        <w:t>11.1.4 -</w:t>
      </w:r>
      <w:r>
        <w:rPr>
          <w:rFonts w:ascii="Verdana" w:hAnsi="Verdana"/>
          <w:color w:val="000000"/>
          <w:sz w:val="18"/>
          <w:szCs w:val="18"/>
        </w:rPr>
        <w:t xml:space="preserve"> As multas aplicadas, somadas, não poderão exceder a 30% do valor do contrato, conforme artigo 156 § 3º da lei 14.133 / 2021.</w:t>
      </w:r>
    </w:p>
    <w:p>
      <w:pPr>
        <w:pStyle w:val="NormalWeb"/>
        <w:spacing w:before="280" w:after="280"/>
        <w:jc w:val="both"/>
        <w:rPr>
          <w:rFonts w:ascii="Verdana" w:hAnsi="Verdana"/>
          <w:color w:val="000000"/>
          <w:sz w:val="18"/>
          <w:szCs w:val="18"/>
        </w:rPr>
      </w:pPr>
      <w:r>
        <w:rPr>
          <w:rFonts w:eastAsia="Verdana" w:cs="Verdana" w:ascii="Verdana" w:hAnsi="Verdana"/>
          <w:b/>
          <w:sz w:val="18"/>
          <w:szCs w:val="18"/>
        </w:rPr>
        <w:t xml:space="preserve">11.2 - </w:t>
      </w:r>
      <w:r>
        <w:rPr>
          <w:rStyle w:val="Strong"/>
          <w:rFonts w:ascii="Verdana" w:hAnsi="Verdana"/>
          <w:color w:val="000000"/>
          <w:sz w:val="18"/>
          <w:szCs w:val="18"/>
        </w:rPr>
        <w:t>DA INEXECUÇÃO</w:t>
      </w:r>
    </w:p>
    <w:p>
      <w:pPr>
        <w:pStyle w:val="NormalWeb"/>
        <w:spacing w:before="280" w:after="280"/>
        <w:jc w:val="both"/>
        <w:rPr>
          <w:rFonts w:ascii="Verdana" w:hAnsi="Verdana"/>
          <w:color w:val="000000"/>
          <w:sz w:val="18"/>
          <w:szCs w:val="18"/>
        </w:rPr>
      </w:pPr>
      <w:r>
        <w:rPr>
          <w:rFonts w:ascii="Verdana" w:hAnsi="Verdana"/>
          <w:b/>
          <w:bCs/>
          <w:color w:val="000000"/>
          <w:sz w:val="18"/>
          <w:szCs w:val="18"/>
        </w:rPr>
        <w:t>11.2.1 -</w:t>
      </w:r>
      <w:r>
        <w:rPr>
          <w:rFonts w:ascii="Verdana" w:hAnsi="Verdana"/>
          <w:color w:val="000000"/>
          <w:sz w:val="18"/>
          <w:szCs w:val="18"/>
        </w:rPr>
        <w:t xml:space="preserve"> A inexecução parcial ou total do objeto deste contrato, bem como a prática de qualquer conduta da CONTRATADA tipificada no presente termo de referência, bem como no instrumento convocatório e no contrato, torna possível a aplicação das sanções previstas no art. 155, 156 e 162 da Lei nº. 14.133/2021, devendo ser verificado o nexo causal devido à ação ou à omissão da CONTRATADA, relativamente às obrigações contratuais em questão.</w:t>
      </w:r>
    </w:p>
    <w:p>
      <w:pPr>
        <w:pStyle w:val="NormalWeb"/>
        <w:spacing w:before="280" w:after="280"/>
        <w:jc w:val="both"/>
        <w:rPr>
          <w:rFonts w:ascii="Verdana" w:hAnsi="Verdana"/>
          <w:color w:val="000000"/>
          <w:sz w:val="18"/>
          <w:szCs w:val="18"/>
        </w:rPr>
      </w:pPr>
      <w:r>
        <w:rPr>
          <w:rFonts w:ascii="Verdana" w:hAnsi="Verdana"/>
          <w:b/>
          <w:bCs/>
          <w:color w:val="000000"/>
          <w:sz w:val="18"/>
          <w:szCs w:val="18"/>
        </w:rPr>
        <w:t>11.2.2 -</w:t>
      </w:r>
      <w:r>
        <w:rPr>
          <w:rFonts w:ascii="Verdana" w:hAnsi="Verdana"/>
          <w:color w:val="000000"/>
          <w:sz w:val="18"/>
          <w:szCs w:val="18"/>
        </w:rPr>
        <w:t xml:space="preserve"> O prazo máximo para fornecimento e/ou instalação dos itens constantes da ordem de fornecimento ou ordem de serviço é de 60 (sessenta) dias após o término do prazo contratual (60 dias de atraso), de maneira que conclusões ocorridas além desse prazo caracterizam </w:t>
      </w:r>
      <w:r>
        <w:rPr>
          <w:rStyle w:val="Strong"/>
          <w:rFonts w:ascii="Verdana" w:hAnsi="Verdana"/>
          <w:color w:val="000000"/>
          <w:sz w:val="18"/>
          <w:szCs w:val="18"/>
        </w:rPr>
        <w:t>inexecução</w:t>
      </w:r>
      <w:r>
        <w:rPr>
          <w:rFonts w:ascii="Verdana" w:hAnsi="Verdana"/>
          <w:color w:val="000000"/>
          <w:sz w:val="18"/>
          <w:szCs w:val="18"/>
        </w:rPr>
        <w:t> e impedem o recebimento pelo CONTRATANTE dos itens ainda não entregues.</w:t>
      </w:r>
    </w:p>
    <w:p>
      <w:pPr>
        <w:pStyle w:val="NormalWeb"/>
        <w:spacing w:before="280" w:after="280"/>
        <w:jc w:val="both"/>
        <w:rPr>
          <w:rFonts w:ascii="Verdana" w:hAnsi="Verdana"/>
          <w:color w:val="000000"/>
          <w:sz w:val="18"/>
          <w:szCs w:val="18"/>
        </w:rPr>
      </w:pPr>
      <w:r>
        <w:rPr>
          <w:rFonts w:ascii="Verdana" w:hAnsi="Verdana"/>
          <w:b/>
          <w:bCs/>
          <w:color w:val="000000"/>
          <w:sz w:val="18"/>
          <w:szCs w:val="18"/>
        </w:rPr>
        <w:t>11.2.3 -</w:t>
      </w:r>
      <w:r>
        <w:rPr>
          <w:rFonts w:ascii="Verdana" w:hAnsi="Verdana"/>
          <w:color w:val="000000"/>
          <w:sz w:val="18"/>
          <w:szCs w:val="18"/>
        </w:rPr>
        <w:t xml:space="preserve"> Considera-se </w:t>
      </w:r>
      <w:r>
        <w:rPr>
          <w:rStyle w:val="Strong"/>
          <w:rFonts w:ascii="Verdana" w:hAnsi="Verdana"/>
          <w:color w:val="000000"/>
          <w:sz w:val="18"/>
          <w:szCs w:val="18"/>
        </w:rPr>
        <w:t>inexecução parcial</w:t>
      </w:r>
      <w:r>
        <w:rPr>
          <w:rFonts w:ascii="Verdana" w:hAnsi="Verdana"/>
          <w:color w:val="000000"/>
          <w:sz w:val="18"/>
          <w:szCs w:val="18"/>
        </w:rPr>
        <w:t> quando parte dos itens constantes da ordem de fornecimento ou ordem de serviço emitida pelo CONTRATANTE for entregue em até 60 (sessenta) dias da data máxima prevista para conclusão dos mesmos, e parte dos itens entregue depois desse prazo, desde que os itens entregues fora do prazo não comprometam a utilidade ou eficácia dos itens entregues dentro do prazo.</w:t>
      </w:r>
    </w:p>
    <w:p>
      <w:pPr>
        <w:pStyle w:val="NormalWeb"/>
        <w:spacing w:before="280" w:after="280"/>
        <w:jc w:val="both"/>
        <w:rPr>
          <w:rFonts w:ascii="Verdana" w:hAnsi="Verdana"/>
          <w:color w:val="000000"/>
          <w:sz w:val="18"/>
          <w:szCs w:val="18"/>
        </w:rPr>
      </w:pPr>
      <w:r>
        <w:rPr>
          <w:rFonts w:ascii="Verdana" w:hAnsi="Verdana"/>
          <w:b/>
          <w:bCs/>
          <w:color w:val="000000"/>
          <w:sz w:val="18"/>
          <w:szCs w:val="18"/>
        </w:rPr>
        <w:t>11.2.4 -</w:t>
      </w:r>
      <w:r>
        <w:rPr>
          <w:rFonts w:ascii="Verdana" w:hAnsi="Verdana"/>
          <w:color w:val="000000"/>
          <w:sz w:val="18"/>
          <w:szCs w:val="18"/>
        </w:rPr>
        <w:t xml:space="preserve"> Considera-se </w:t>
      </w:r>
      <w:r>
        <w:rPr>
          <w:rStyle w:val="Strong"/>
          <w:rFonts w:ascii="Verdana" w:hAnsi="Verdana"/>
          <w:color w:val="000000"/>
          <w:sz w:val="18"/>
          <w:szCs w:val="18"/>
        </w:rPr>
        <w:t>inexecução total</w:t>
      </w:r>
      <w:r>
        <w:rPr>
          <w:rFonts w:ascii="Verdana" w:hAnsi="Verdana"/>
          <w:color w:val="000000"/>
          <w:sz w:val="18"/>
          <w:szCs w:val="18"/>
        </w:rPr>
        <w:t> quando NENHUM dos itens constantes da ordem de fornecimento ou ordem de serviço emitida pela CONTRATANTE for entregue em até 60 (sessenta) dias da data máxima prevista para conclusão dos mesmos, ou mesmo que um ou mais itens estejam pendentes, mas comprometendo a utilidade ou a eficácia de toda a parcela já entregue.</w:t>
      </w:r>
    </w:p>
    <w:p>
      <w:pPr>
        <w:pStyle w:val="NormalWeb"/>
        <w:spacing w:before="280" w:after="280"/>
        <w:jc w:val="both"/>
        <w:rPr>
          <w:rFonts w:ascii="Verdana" w:hAnsi="Verdana"/>
          <w:color w:val="000000"/>
          <w:sz w:val="18"/>
          <w:szCs w:val="18"/>
        </w:rPr>
      </w:pPr>
      <w:r>
        <w:rPr>
          <w:rFonts w:ascii="Verdana" w:hAnsi="Verdana"/>
          <w:b/>
          <w:bCs/>
          <w:color w:val="000000"/>
          <w:sz w:val="18"/>
          <w:szCs w:val="18"/>
        </w:rPr>
        <w:t>11.2.5 -</w:t>
      </w:r>
      <w:r>
        <w:rPr>
          <w:rFonts w:ascii="Verdana" w:hAnsi="Verdana"/>
          <w:color w:val="000000"/>
          <w:sz w:val="18"/>
          <w:szCs w:val="18"/>
        </w:rPr>
        <w:t xml:space="preserve"> Pela inexecução total ou parcial do contrato a Administração poderá, garantidos o contraditório e a ampla defesa, aplicar à CONTRATADA as seguintes sanções previstas no art.156 da Lei 14.133/2021, conforme listado a seguir:</w:t>
      </w:r>
    </w:p>
    <w:p>
      <w:pPr>
        <w:pStyle w:val="NormalWeb"/>
        <w:spacing w:beforeAutospacing="0" w:before="0" w:afterAutospacing="0" w:after="0"/>
        <w:ind w:left="284" w:hanging="0"/>
        <w:jc w:val="both"/>
        <w:rPr>
          <w:rFonts w:ascii="Verdana" w:hAnsi="Verdana"/>
          <w:color w:val="000000"/>
          <w:sz w:val="18"/>
          <w:szCs w:val="18"/>
        </w:rPr>
      </w:pPr>
      <w:r>
        <w:rPr>
          <w:rFonts w:ascii="Verdana" w:hAnsi="Verdana"/>
          <w:color w:val="000000"/>
          <w:sz w:val="18"/>
          <w:szCs w:val="18"/>
        </w:rPr>
        <w:t>a) Multa;</w:t>
      </w:r>
    </w:p>
    <w:p>
      <w:pPr>
        <w:pStyle w:val="NormalWeb"/>
        <w:spacing w:beforeAutospacing="0" w:before="0" w:afterAutospacing="0" w:after="0"/>
        <w:ind w:left="284" w:hanging="0"/>
        <w:jc w:val="both"/>
        <w:rPr>
          <w:rFonts w:ascii="Verdana" w:hAnsi="Verdana"/>
          <w:color w:val="000000"/>
          <w:sz w:val="18"/>
          <w:szCs w:val="18"/>
        </w:rPr>
      </w:pPr>
      <w:r>
        <w:rPr>
          <w:rFonts w:ascii="Verdana" w:hAnsi="Verdana"/>
          <w:color w:val="000000"/>
          <w:sz w:val="18"/>
          <w:szCs w:val="18"/>
        </w:rPr>
        <w:t xml:space="preserve">b) Impedimento para licitar e contratar </w:t>
      </w:r>
      <w:r>
        <w:rPr>
          <w:rFonts w:cs="Arial" w:ascii="Verdana" w:hAnsi="Verdana"/>
          <w:color w:val="000000"/>
          <w:sz w:val="18"/>
          <w:szCs w:val="18"/>
        </w:rPr>
        <w:t>no âmbito da Administração Pública direta e indireta do ente federativo que tiver aplicado a sanção, pelo prazo máximo de 3 (três) anos</w:t>
      </w:r>
      <w:r>
        <w:rPr>
          <w:rFonts w:ascii="Verdana" w:hAnsi="Verdana"/>
          <w:color w:val="000000"/>
          <w:sz w:val="18"/>
          <w:szCs w:val="18"/>
        </w:rPr>
        <w:t>;</w:t>
      </w:r>
    </w:p>
    <w:p>
      <w:pPr>
        <w:pStyle w:val="NormalWeb"/>
        <w:spacing w:beforeAutospacing="0" w:before="0" w:afterAutospacing="0" w:after="0"/>
        <w:ind w:left="284" w:hanging="0"/>
        <w:jc w:val="both"/>
        <w:rPr>
          <w:rFonts w:ascii="Verdana" w:hAnsi="Verdana"/>
          <w:color w:val="000000"/>
          <w:sz w:val="18"/>
          <w:szCs w:val="18"/>
        </w:rPr>
      </w:pPr>
      <w:r>
        <w:rPr>
          <w:rFonts w:ascii="Verdana" w:hAnsi="Verdana"/>
          <w:color w:val="000000"/>
          <w:sz w:val="18"/>
          <w:szCs w:val="18"/>
        </w:rPr>
        <w:t xml:space="preserve">c) Declaração de inidoneidade para licitar ou contratar </w:t>
      </w:r>
      <w:r>
        <w:rPr>
          <w:rFonts w:cs="Arial" w:ascii="Verdana" w:hAnsi="Verdana"/>
          <w:color w:val="000000"/>
          <w:sz w:val="18"/>
          <w:szCs w:val="18"/>
        </w:rPr>
        <w:t>no âmbito da Administração Pública direta e indireta de todos os entes federativos, pelo prazo mínimo de 3 (três) anos e máximo de 6 (seis) anos</w:t>
      </w:r>
      <w:r>
        <w:rPr>
          <w:rFonts w:ascii="Verdana" w:hAnsi="Verdana"/>
          <w:color w:val="000000"/>
          <w:sz w:val="18"/>
          <w:szCs w:val="18"/>
        </w:rPr>
        <w:t>.</w:t>
      </w:r>
    </w:p>
    <w:p>
      <w:pPr>
        <w:pStyle w:val="NormalWeb"/>
        <w:spacing w:beforeAutospacing="0" w:before="0" w:afterAutospacing="0" w:after="0"/>
        <w:jc w:val="both"/>
        <w:rPr>
          <w:rFonts w:ascii="Verdana" w:hAnsi="Verdana"/>
          <w:color w:val="000000"/>
          <w:sz w:val="18"/>
          <w:szCs w:val="18"/>
        </w:rPr>
      </w:pPr>
      <w:r>
        <w:rPr>
          <w:rFonts w:ascii="Verdana" w:hAnsi="Verdana"/>
          <w:color w:val="000000"/>
          <w:sz w:val="18"/>
          <w:szCs w:val="18"/>
        </w:rPr>
      </w:r>
    </w:p>
    <w:p>
      <w:pPr>
        <w:pStyle w:val="NormalWeb"/>
        <w:spacing w:beforeAutospacing="0" w:before="0" w:after="280"/>
        <w:jc w:val="both"/>
        <w:rPr>
          <w:rFonts w:ascii="Verdana" w:hAnsi="Verdana"/>
          <w:color w:val="000000"/>
          <w:sz w:val="18"/>
          <w:szCs w:val="18"/>
        </w:rPr>
      </w:pPr>
      <w:r>
        <w:rPr>
          <w:rFonts w:ascii="Verdana" w:hAnsi="Verdana"/>
          <w:b/>
          <w:bCs/>
          <w:color w:val="000000"/>
          <w:sz w:val="18"/>
          <w:szCs w:val="18"/>
        </w:rPr>
        <w:t>11.2.6 -</w:t>
      </w:r>
      <w:r>
        <w:rPr>
          <w:rFonts w:ascii="Verdana" w:hAnsi="Verdana"/>
          <w:color w:val="000000"/>
          <w:sz w:val="18"/>
          <w:szCs w:val="18"/>
        </w:rPr>
        <w:t xml:space="preserve"> As sanções de impedimento para licitar e contratar e de declaração de inidoneidade para licitar ou contratar com a Administração Pública poderão ser aplicadas à CONTRATADA juntamente à de multa.</w:t>
      </w:r>
    </w:p>
    <w:p>
      <w:pPr>
        <w:pStyle w:val="NormalWeb"/>
        <w:spacing w:before="280" w:after="280"/>
        <w:jc w:val="both"/>
        <w:rPr>
          <w:rFonts w:ascii="Verdana" w:hAnsi="Verdana"/>
          <w:color w:val="000000"/>
          <w:sz w:val="18"/>
          <w:szCs w:val="18"/>
        </w:rPr>
      </w:pPr>
      <w:r>
        <w:rPr>
          <w:rFonts w:ascii="Verdana" w:hAnsi="Verdana"/>
          <w:b/>
          <w:bCs/>
          <w:color w:val="000000"/>
          <w:sz w:val="18"/>
          <w:szCs w:val="18"/>
        </w:rPr>
        <w:t>11.2.7 -</w:t>
      </w:r>
      <w:r>
        <w:rPr>
          <w:rFonts w:ascii="Verdana" w:hAnsi="Verdana"/>
          <w:color w:val="000000"/>
          <w:sz w:val="18"/>
          <w:szCs w:val="18"/>
        </w:rPr>
        <w:t xml:space="preserve"> Na aplicação das sanções, devem ser consideradas as seguintes circunstâncias:</w:t>
      </w:r>
    </w:p>
    <w:p>
      <w:pPr>
        <w:pStyle w:val="NormalWeb"/>
        <w:spacing w:beforeAutospacing="0" w:before="0" w:afterAutospacing="0" w:after="0"/>
        <w:ind w:firstLine="570"/>
        <w:jc w:val="both"/>
        <w:rPr>
          <w:rFonts w:ascii="Verdana" w:hAnsi="Verdana"/>
          <w:color w:val="000000"/>
          <w:sz w:val="18"/>
          <w:szCs w:val="18"/>
        </w:rPr>
      </w:pPr>
      <w:r>
        <w:rPr>
          <w:rFonts w:ascii="Verdana" w:hAnsi="Verdana"/>
          <w:color w:val="000000"/>
          <w:sz w:val="18"/>
          <w:szCs w:val="18"/>
        </w:rPr>
        <w:t xml:space="preserve">a) </w:t>
      </w:r>
      <w:r>
        <w:rPr>
          <w:rFonts w:cs="Arial" w:ascii="Verdana" w:hAnsi="Verdana"/>
          <w:color w:val="000000"/>
          <w:sz w:val="18"/>
          <w:szCs w:val="18"/>
        </w:rPr>
        <w:t>a natureza e a gravidade da infração cometida;</w:t>
      </w:r>
    </w:p>
    <w:p>
      <w:pPr>
        <w:pStyle w:val="NormalWeb"/>
        <w:spacing w:beforeAutospacing="0" w:before="0" w:afterAutospacing="0" w:after="0"/>
        <w:ind w:firstLine="570"/>
        <w:jc w:val="both"/>
        <w:rPr>
          <w:rFonts w:ascii="Verdana" w:hAnsi="Verdana"/>
          <w:color w:val="000000"/>
          <w:sz w:val="18"/>
          <w:szCs w:val="18"/>
        </w:rPr>
      </w:pPr>
      <w:bookmarkStart w:id="8" w:name="art156§1ii"/>
      <w:bookmarkEnd w:id="8"/>
      <w:r>
        <w:rPr>
          <w:rFonts w:cs="Arial" w:ascii="Verdana" w:hAnsi="Verdana"/>
          <w:color w:val="000000"/>
          <w:sz w:val="18"/>
          <w:szCs w:val="18"/>
        </w:rPr>
        <w:t>b) as peculiaridades do caso concreto;</w:t>
      </w:r>
    </w:p>
    <w:p>
      <w:pPr>
        <w:pStyle w:val="NormalWeb"/>
        <w:spacing w:beforeAutospacing="0" w:before="0" w:afterAutospacing="0" w:after="0"/>
        <w:ind w:firstLine="570"/>
        <w:jc w:val="both"/>
        <w:rPr>
          <w:rFonts w:ascii="Verdana" w:hAnsi="Verdana"/>
          <w:color w:val="000000"/>
          <w:sz w:val="18"/>
          <w:szCs w:val="18"/>
        </w:rPr>
      </w:pPr>
      <w:bookmarkStart w:id="9" w:name="art156§1iii"/>
      <w:bookmarkEnd w:id="9"/>
      <w:r>
        <w:rPr>
          <w:rFonts w:cs="Arial" w:ascii="Verdana" w:hAnsi="Verdana"/>
          <w:color w:val="000000"/>
          <w:sz w:val="18"/>
          <w:szCs w:val="18"/>
        </w:rPr>
        <w:t>c) as circunstâncias agravantes ou atenuantes;</w:t>
      </w:r>
    </w:p>
    <w:p>
      <w:pPr>
        <w:pStyle w:val="NormalWeb"/>
        <w:spacing w:beforeAutospacing="0" w:before="0" w:afterAutospacing="0" w:after="0"/>
        <w:ind w:firstLine="570"/>
        <w:jc w:val="both"/>
        <w:rPr>
          <w:rFonts w:ascii="Verdana" w:hAnsi="Verdana"/>
          <w:color w:val="000000"/>
          <w:sz w:val="18"/>
          <w:szCs w:val="18"/>
        </w:rPr>
      </w:pPr>
      <w:bookmarkStart w:id="10" w:name="art156§1iv"/>
      <w:bookmarkEnd w:id="10"/>
      <w:r>
        <w:rPr>
          <w:rFonts w:cs="Arial" w:ascii="Verdana" w:hAnsi="Verdana"/>
          <w:color w:val="000000"/>
          <w:sz w:val="18"/>
          <w:szCs w:val="18"/>
        </w:rPr>
        <w:t>d) os danos que dela provierem para a Administração Pública;</w:t>
      </w:r>
    </w:p>
    <w:p>
      <w:pPr>
        <w:pStyle w:val="NormalWeb"/>
        <w:spacing w:beforeAutospacing="0" w:before="0" w:afterAutospacing="0" w:after="0"/>
        <w:ind w:firstLine="570"/>
        <w:jc w:val="both"/>
        <w:rPr>
          <w:rFonts w:ascii="Verdana" w:hAnsi="Verdana"/>
          <w:color w:val="000000"/>
          <w:sz w:val="18"/>
          <w:szCs w:val="18"/>
        </w:rPr>
      </w:pPr>
      <w:bookmarkStart w:id="11" w:name="art156§1v"/>
      <w:bookmarkEnd w:id="11"/>
      <w:r>
        <w:rPr>
          <w:rFonts w:cs="Arial" w:ascii="Verdana" w:hAnsi="Verdana"/>
          <w:color w:val="000000"/>
          <w:sz w:val="18"/>
          <w:szCs w:val="18"/>
        </w:rPr>
        <w:t>e) a implantação ou o aperfeiçoamento de programa de integridade, conforme normas e orientações dos órgãos de controle.</w:t>
      </w:r>
    </w:p>
    <w:p>
      <w:pPr>
        <w:pStyle w:val="NormalWeb"/>
        <w:spacing w:beforeAutospacing="0" w:before="0" w:afterAutospacing="0" w:after="0"/>
        <w:ind w:left="284" w:hanging="0"/>
        <w:jc w:val="both"/>
        <w:rPr>
          <w:rFonts w:ascii="Verdana" w:hAnsi="Verdana"/>
          <w:color w:val="000000"/>
          <w:sz w:val="18"/>
          <w:szCs w:val="18"/>
        </w:rPr>
      </w:pPr>
      <w:r>
        <w:rPr>
          <w:rFonts w:ascii="Verdana" w:hAnsi="Verdana"/>
          <w:color w:val="000000"/>
          <w:sz w:val="18"/>
          <w:szCs w:val="18"/>
        </w:rPr>
        <w:t>.</w:t>
      </w:r>
    </w:p>
    <w:p>
      <w:pPr>
        <w:pStyle w:val="NormalWeb"/>
        <w:spacing w:beforeAutospacing="0" w:before="0" w:afterAutospacing="0" w:after="0"/>
        <w:jc w:val="both"/>
        <w:rPr>
          <w:rFonts w:ascii="Verdana" w:hAnsi="Verdana"/>
          <w:color w:val="000000"/>
          <w:sz w:val="18"/>
          <w:szCs w:val="18"/>
        </w:rPr>
      </w:pPr>
      <w:r>
        <w:rPr>
          <w:rFonts w:ascii="Verdana" w:hAnsi="Verdana"/>
          <w:color w:val="000000"/>
          <w:sz w:val="18"/>
          <w:szCs w:val="18"/>
        </w:rPr>
      </w:r>
    </w:p>
    <w:p>
      <w:pPr>
        <w:pStyle w:val="NormalWeb"/>
        <w:spacing w:beforeAutospacing="0" w:before="0" w:after="280"/>
        <w:jc w:val="both"/>
        <w:rPr>
          <w:rFonts w:ascii="Verdana" w:hAnsi="Verdana"/>
          <w:color w:val="000000"/>
          <w:sz w:val="18"/>
          <w:szCs w:val="18"/>
        </w:rPr>
      </w:pPr>
      <w:r>
        <w:rPr>
          <w:rFonts w:ascii="Verdana" w:hAnsi="Verdana"/>
          <w:b/>
          <w:bCs/>
          <w:color w:val="000000"/>
          <w:sz w:val="18"/>
          <w:szCs w:val="18"/>
        </w:rPr>
        <w:t>11.2.8 -</w:t>
      </w:r>
      <w:r>
        <w:rPr>
          <w:rFonts w:ascii="Verdana" w:hAnsi="Verdana"/>
          <w:color w:val="000000"/>
          <w:sz w:val="18"/>
          <w:szCs w:val="18"/>
        </w:rPr>
        <w:t xml:space="preserve"> Quando da ocorrência de inexecução parcial, será aplicada multa de 25% sobre o valor da parcela não executada.</w:t>
      </w:r>
    </w:p>
    <w:p>
      <w:pPr>
        <w:pStyle w:val="NormalWeb"/>
        <w:spacing w:before="280" w:after="280"/>
        <w:jc w:val="both"/>
        <w:rPr>
          <w:rFonts w:ascii="Verdana" w:hAnsi="Verdana"/>
          <w:color w:val="000000"/>
          <w:sz w:val="18"/>
          <w:szCs w:val="18"/>
        </w:rPr>
      </w:pPr>
      <w:r>
        <w:rPr>
          <w:rFonts w:ascii="Verdana" w:hAnsi="Verdana"/>
          <w:b/>
          <w:bCs/>
          <w:color w:val="000000"/>
          <w:sz w:val="18"/>
          <w:szCs w:val="18"/>
        </w:rPr>
        <w:t>11.2.9</w:t>
      </w:r>
      <w:r>
        <w:rPr>
          <w:rFonts w:ascii="Verdana" w:hAnsi="Verdana"/>
          <w:color w:val="000000"/>
          <w:sz w:val="18"/>
          <w:szCs w:val="18"/>
        </w:rPr>
        <w:t xml:space="preserve"> - Quando da ocorrência de inexecução total, será aplicada multa de 20% (vinte por cento) sobre o valor total da ordem de serviço.</w:t>
      </w:r>
    </w:p>
    <w:p>
      <w:pPr>
        <w:pStyle w:val="NormalWeb"/>
        <w:spacing w:beforeAutospacing="0" w:before="0" w:afterAutospacing="0" w:after="0"/>
        <w:jc w:val="both"/>
        <w:rPr>
          <w:rFonts w:ascii="Verdana" w:hAnsi="Verdana"/>
          <w:color w:val="000000"/>
          <w:sz w:val="18"/>
          <w:szCs w:val="18"/>
        </w:rPr>
      </w:pPr>
      <w:r>
        <w:rPr>
          <w:rFonts w:ascii="Verdana" w:hAnsi="Verdana"/>
          <w:b/>
          <w:bCs/>
          <w:color w:val="000000"/>
          <w:sz w:val="18"/>
          <w:szCs w:val="18"/>
        </w:rPr>
        <w:t>11.2.10 -</w:t>
      </w:r>
      <w:r>
        <w:rPr>
          <w:rFonts w:ascii="Verdana" w:hAnsi="Verdana"/>
          <w:color w:val="000000"/>
          <w:sz w:val="18"/>
          <w:szCs w:val="18"/>
        </w:rPr>
        <w:t xml:space="preserve"> A inexecução total ou parcial do contrato enseja a sua rescisão, com as consequências contratuais e as previstas em lei ou regulamento.</w:t>
      </w:r>
    </w:p>
    <w:p>
      <w:pPr>
        <w:pStyle w:val="Normal"/>
        <w:widowControl w:val="false"/>
        <w:ind w:right="-24" w:hanging="0"/>
        <w:jc w:val="both"/>
        <w:rPr>
          <w:rFonts w:ascii="Verdana" w:hAnsi="Verdana" w:eastAsia="Verdana" w:cs="Verdana"/>
          <w:sz w:val="18"/>
          <w:szCs w:val="18"/>
        </w:rPr>
      </w:pPr>
      <w:r>
        <w:rPr>
          <w:rFonts w:eastAsia="Verdana" w:cs="Verdana" w:ascii="Verdana" w:hAnsi="Verdana"/>
          <w:sz w:val="18"/>
          <w:szCs w:val="18"/>
        </w:rPr>
      </w:r>
    </w:p>
    <w:p>
      <w:pPr>
        <w:pStyle w:val="Normal"/>
        <w:widowControl w:val="false"/>
        <w:ind w:right="-24" w:hanging="0"/>
        <w:jc w:val="both"/>
        <w:rPr>
          <w:rFonts w:ascii="Verdana" w:hAnsi="Verdana" w:eastAsia="Verdana" w:cs="Verdana"/>
          <w:b/>
          <w:b/>
          <w:sz w:val="18"/>
          <w:szCs w:val="18"/>
        </w:rPr>
      </w:pPr>
      <w:r>
        <w:rPr>
          <w:rFonts w:eastAsia="Verdana" w:cs="Verdana" w:ascii="Verdana" w:hAnsi="Verdana"/>
          <w:b/>
          <w:sz w:val="18"/>
          <w:szCs w:val="18"/>
        </w:rPr>
        <w:t>11.3 - DOS PROCEDIMENTOS PARA APLICAÇÃO DE PENALIDADES.</w:t>
      </w:r>
    </w:p>
    <w:p>
      <w:pPr>
        <w:pStyle w:val="Normal"/>
        <w:widowControl w:val="false"/>
        <w:spacing w:before="240" w:after="240"/>
        <w:ind w:right="-24" w:hanging="0"/>
        <w:jc w:val="both"/>
        <w:rPr>
          <w:rFonts w:ascii="Verdana" w:hAnsi="Verdana" w:eastAsia="Verdana" w:cs="Verdana"/>
          <w:sz w:val="18"/>
          <w:szCs w:val="18"/>
        </w:rPr>
      </w:pPr>
      <w:r>
        <w:rPr>
          <w:rFonts w:eastAsia="Verdana" w:cs="Verdana" w:ascii="Verdana" w:hAnsi="Verdana"/>
          <w:sz w:val="18"/>
          <w:szCs w:val="18"/>
        </w:rPr>
        <w:t>i. A Administração poderá, ad cautelam, efetuar a retenção do valor da multa presumida antes da instauração do regular procedimento administrativo. Se a multa aplicada e as indenizações cabíveis forem superiores ao valor de pagamento eventualmente devido pela Administração ao contratado, além da perda desse valor, a diferença será descontada da garantia prestada ou será cobrada judicialmente.</w:t>
      </w:r>
    </w:p>
    <w:p>
      <w:pPr>
        <w:pStyle w:val="Normal"/>
        <w:widowControl w:val="false"/>
        <w:spacing w:before="240" w:after="240"/>
        <w:ind w:right="-24" w:hanging="0"/>
        <w:jc w:val="both"/>
        <w:rPr>
          <w:rFonts w:ascii="Verdana" w:hAnsi="Verdana" w:eastAsia="Verdana" w:cs="Verdana"/>
          <w:sz w:val="18"/>
          <w:szCs w:val="18"/>
        </w:rPr>
      </w:pPr>
      <w:r>
        <w:rPr>
          <w:rFonts w:eastAsia="Verdana" w:cs="Verdana" w:ascii="Verdana" w:hAnsi="Verdana"/>
          <w:sz w:val="18"/>
          <w:szCs w:val="18"/>
        </w:rPr>
        <w:t>ii. As penalidades aqui previstas serão aplicadas sem prejuízo das sanções civis ou penais cabíveis, quando for o caso, não eximindo o licitante de reparar integralmente eventuais danos que seu ato punível venha a acarretar à Administração.</w:t>
      </w:r>
    </w:p>
    <w:p>
      <w:pPr>
        <w:pStyle w:val="Normal"/>
        <w:widowControl w:val="false"/>
        <w:spacing w:before="240" w:after="240"/>
        <w:ind w:right="-24" w:hanging="0"/>
        <w:jc w:val="both"/>
        <w:rPr>
          <w:rFonts w:ascii="Verdana" w:hAnsi="Verdana" w:eastAsia="Verdana" w:cs="Verdana"/>
          <w:sz w:val="18"/>
          <w:szCs w:val="18"/>
        </w:rPr>
      </w:pPr>
      <w:r>
        <w:rPr>
          <w:rFonts w:eastAsia="Verdana" w:cs="Verdana" w:ascii="Verdana" w:hAnsi="Verdana"/>
          <w:sz w:val="18"/>
          <w:szCs w:val="18"/>
        </w:rPr>
        <w:t>iii. A apuração das penalidades deverá se realizar em processo administrativo autônomo, de iniciativa do gestor do contrato, a ser conduzido pela Subsecretaria Geral do Tribunal de Justiça, e apensado, ao final do procedimento de apuração, ao processo originário da contratação.</w:t>
      </w:r>
    </w:p>
    <w:p>
      <w:pPr>
        <w:pStyle w:val="Normal"/>
        <w:widowControl w:val="false"/>
        <w:spacing w:before="240" w:after="240"/>
        <w:ind w:right="-24" w:hanging="0"/>
        <w:jc w:val="both"/>
        <w:rPr>
          <w:rFonts w:ascii="Verdana" w:hAnsi="Verdana" w:eastAsia="Verdana" w:cs="Verdana"/>
          <w:sz w:val="18"/>
          <w:szCs w:val="18"/>
        </w:rPr>
      </w:pPr>
      <w:r>
        <w:rPr>
          <w:rFonts w:eastAsia="Verdana" w:cs="Verdana" w:ascii="Verdana" w:hAnsi="Verdana"/>
          <w:sz w:val="18"/>
          <w:szCs w:val="18"/>
        </w:rPr>
        <w:t>iv. Na hipótese de o gestor sugerir a rescisão do contrato, deverá avaliar o efeito da medida e o impacto operacional da decisão, informando plano de ação para anular o impacto.</w:t>
      </w:r>
    </w:p>
    <w:p>
      <w:pPr>
        <w:pStyle w:val="Normal"/>
        <w:widowControl w:val="false"/>
        <w:spacing w:before="240" w:after="240"/>
        <w:ind w:right="-24" w:hanging="0"/>
        <w:jc w:val="both"/>
        <w:rPr>
          <w:rFonts w:ascii="Verdana" w:hAnsi="Verdana" w:eastAsia="Verdana" w:cs="Verdana"/>
          <w:sz w:val="18"/>
          <w:szCs w:val="18"/>
        </w:rPr>
      </w:pPr>
      <w:r>
        <w:rPr>
          <w:rFonts w:eastAsia="Verdana" w:cs="Verdana" w:ascii="Verdana" w:hAnsi="Verdana"/>
          <w:sz w:val="18"/>
          <w:szCs w:val="18"/>
        </w:rPr>
        <w:t>v. As sanções administrativas somente serão aplicadas mediante regular processo administrativo, que tramitará conforme a Norma de Procedimentos n.º 01.08, regulamento da contratante encontrado no endereço “</w:t>
      </w:r>
      <w:hyperlink r:id="rId14">
        <w:r>
          <w:rPr>
            <w:rFonts w:eastAsia="Verdana" w:cs="Verdana" w:ascii="Verdana" w:hAnsi="Verdana"/>
            <w:sz w:val="18"/>
            <w:szCs w:val="18"/>
            <w:u w:val="single"/>
          </w:rPr>
          <w:t>http://www.tjes.jus.br/publicacoes/normas-de-procedimentos-intranet/</w:t>
        </w:r>
      </w:hyperlink>
      <w:r>
        <w:rPr>
          <w:rFonts w:eastAsia="Verdana" w:cs="Verdana" w:ascii="Verdana" w:hAnsi="Verdana"/>
          <w:sz w:val="18"/>
          <w:szCs w:val="18"/>
        </w:rPr>
        <w:t>”,  assegurada a ampla defesa e o contraditório, observando-se as seguintes regras:</w:t>
      </w:r>
    </w:p>
    <w:p>
      <w:pPr>
        <w:pStyle w:val="Normal"/>
        <w:widowControl w:val="false"/>
        <w:numPr>
          <w:ilvl w:val="0"/>
          <w:numId w:val="1"/>
        </w:numPr>
        <w:spacing w:before="240" w:after="0"/>
        <w:ind w:left="720" w:right="-24" w:hanging="360"/>
        <w:jc w:val="both"/>
        <w:rPr>
          <w:rFonts w:ascii="Verdana" w:hAnsi="Verdana" w:eastAsia="Verdana" w:cs="Verdana"/>
          <w:sz w:val="18"/>
          <w:szCs w:val="18"/>
        </w:rPr>
      </w:pPr>
      <w:r>
        <w:rPr>
          <w:rFonts w:eastAsia="Verdana" w:cs="Verdana" w:ascii="Verdana" w:hAnsi="Verdana"/>
          <w:sz w:val="18"/>
          <w:szCs w:val="18"/>
        </w:rPr>
        <w:t>Antes de iniciar a autuação do processo administrativo para analisar a incidência de penalidade, o gestor do contrato deverá notificar diretamente a contratada, por qualquer meio idôneo, ou seja, e-mail oficialmente informado pela contratada, carta com aviso de recebimento (AR) etc.</w:t>
      </w:r>
    </w:p>
    <w:p>
      <w:pPr>
        <w:pStyle w:val="Normal"/>
        <w:widowControl w:val="false"/>
        <w:numPr>
          <w:ilvl w:val="0"/>
          <w:numId w:val="1"/>
        </w:numPr>
        <w:spacing w:before="0" w:after="240"/>
        <w:ind w:left="720" w:right="-24" w:hanging="360"/>
        <w:jc w:val="both"/>
        <w:rPr>
          <w:rFonts w:ascii="Verdana" w:hAnsi="Verdana" w:eastAsia="Verdana" w:cs="Verdana"/>
          <w:sz w:val="18"/>
          <w:szCs w:val="18"/>
        </w:rPr>
      </w:pPr>
      <w:r>
        <w:rPr>
          <w:rFonts w:eastAsia="Verdana" w:cs="Verdana" w:ascii="Verdana" w:hAnsi="Verdana"/>
          <w:sz w:val="18"/>
          <w:szCs w:val="18"/>
        </w:rPr>
        <w:t>A notificação deverá indicar, no mínimo, a conduta da contratada reputada como infratora, a motivação para possível aplicação da penalidade, a sanção que se pretende aplicar, o prazo para responder à notificação.</w:t>
      </w:r>
    </w:p>
    <w:p>
      <w:pPr>
        <w:pStyle w:val="Normal"/>
        <w:widowControl w:val="false"/>
        <w:spacing w:before="240" w:after="240"/>
        <w:ind w:right="-24" w:hanging="0"/>
        <w:jc w:val="both"/>
        <w:rPr>
          <w:rFonts w:ascii="Verdana" w:hAnsi="Verdana" w:eastAsia="Verdana" w:cs="Verdana"/>
          <w:sz w:val="18"/>
          <w:szCs w:val="18"/>
        </w:rPr>
      </w:pPr>
      <w:r>
        <w:rPr>
          <w:rFonts w:eastAsia="Verdana" w:cs="Verdana" w:ascii="Verdana" w:hAnsi="Verdana"/>
          <w:sz w:val="18"/>
          <w:szCs w:val="18"/>
        </w:rPr>
        <w:t>vi. Se recebida alguma resposta, esta deverá ser juntada ao processo administrativo. Se não recebida  resposta alguma dentro do prazo concedido, isso deverá ser informado no processo.</w:t>
      </w:r>
    </w:p>
    <w:p>
      <w:pPr>
        <w:pStyle w:val="Normal"/>
        <w:widowControl w:val="false"/>
        <w:spacing w:before="240" w:after="240"/>
        <w:ind w:right="-24" w:hanging="0"/>
        <w:jc w:val="both"/>
        <w:rPr>
          <w:rFonts w:ascii="Verdana" w:hAnsi="Verdana" w:eastAsia="Verdana" w:cs="Verdana"/>
          <w:sz w:val="18"/>
          <w:szCs w:val="18"/>
        </w:rPr>
      </w:pPr>
      <w:r>
        <w:rPr>
          <w:rFonts w:eastAsia="Verdana" w:cs="Verdana" w:ascii="Verdana" w:hAnsi="Verdana"/>
          <w:sz w:val="18"/>
          <w:szCs w:val="18"/>
        </w:rPr>
        <w:t>vii. Serão consideradas eficazes as notificações enviadas ao endereço anteriormente indicado pela contratada, na ausência de comunicação por parte desta de qualquer alteração, tendo em vista a obrigação da contratada de comunicar ao gestor do contrato as mudanças de endereço ocorridas no curso do processo licitatório e da vigência do contrato.</w:t>
      </w:r>
    </w:p>
    <w:p>
      <w:pPr>
        <w:pStyle w:val="Normal"/>
        <w:widowControl w:val="false"/>
        <w:spacing w:before="240" w:after="240"/>
        <w:ind w:right="-24" w:hanging="0"/>
        <w:jc w:val="both"/>
        <w:rPr>
          <w:rFonts w:ascii="Verdana" w:hAnsi="Verdana" w:eastAsia="Verdana" w:cs="Verdana"/>
          <w:sz w:val="18"/>
          <w:szCs w:val="18"/>
        </w:rPr>
      </w:pPr>
      <w:r>
        <w:rPr>
          <w:rFonts w:eastAsia="Verdana" w:cs="Verdana" w:ascii="Verdana" w:hAnsi="Verdana"/>
          <w:sz w:val="18"/>
          <w:szCs w:val="18"/>
        </w:rPr>
        <w:t>viii. Qualquer descumprimento contratual será objeto de penalização, salvo se as justificativas apresentadas pelo contratado forem aceitas pela Administração, representada pela autoridade competente para julgar, caso em que a contratada poderá ser comunicada de que novas ocorrências poderão acarretar aplicação de penalidade.</w:t>
      </w:r>
    </w:p>
    <w:p>
      <w:pPr>
        <w:pStyle w:val="Normal"/>
        <w:widowControl w:val="false"/>
        <w:spacing w:before="240" w:after="240"/>
        <w:ind w:right="-24" w:hanging="0"/>
        <w:jc w:val="both"/>
        <w:rPr>
          <w:rFonts w:ascii="Verdana" w:hAnsi="Verdana" w:eastAsia="Verdana" w:cs="Verdana"/>
          <w:sz w:val="18"/>
          <w:szCs w:val="18"/>
        </w:rPr>
      </w:pPr>
      <w:r>
        <w:rPr>
          <w:rFonts w:eastAsia="Verdana" w:cs="Verdana" w:ascii="Verdana" w:hAnsi="Verdana"/>
          <w:sz w:val="18"/>
          <w:szCs w:val="18"/>
        </w:rPr>
        <w:t>ix. O valor da multa aplicada será:</w:t>
      </w:r>
    </w:p>
    <w:p>
      <w:pPr>
        <w:pStyle w:val="Normal"/>
        <w:widowControl w:val="false"/>
        <w:numPr>
          <w:ilvl w:val="0"/>
          <w:numId w:val="2"/>
        </w:numPr>
        <w:spacing w:before="240" w:after="0"/>
        <w:ind w:left="720" w:right="-24" w:hanging="360"/>
        <w:rPr>
          <w:rFonts w:ascii="Verdana" w:hAnsi="Verdana" w:eastAsia="Verdana" w:cs="Verdana"/>
          <w:sz w:val="18"/>
          <w:szCs w:val="18"/>
        </w:rPr>
      </w:pPr>
      <w:r>
        <w:rPr>
          <w:rFonts w:eastAsia="Verdana" w:cs="Verdana" w:ascii="Verdana" w:hAnsi="Verdana"/>
          <w:sz w:val="18"/>
          <w:szCs w:val="18"/>
        </w:rPr>
        <w:t>Retido dos pagamentos devidos pela Administração.</w:t>
      </w:r>
    </w:p>
    <w:p>
      <w:pPr>
        <w:pStyle w:val="Normal"/>
        <w:widowControl w:val="false"/>
        <w:numPr>
          <w:ilvl w:val="0"/>
          <w:numId w:val="2"/>
        </w:numPr>
        <w:ind w:left="720" w:right="-24" w:hanging="360"/>
        <w:rPr>
          <w:rFonts w:ascii="Verdana" w:hAnsi="Verdana" w:eastAsia="Verdana" w:cs="Verdana"/>
          <w:sz w:val="18"/>
          <w:szCs w:val="18"/>
        </w:rPr>
      </w:pPr>
      <w:r>
        <w:rPr>
          <w:rFonts w:eastAsia="Verdana" w:cs="Verdana" w:ascii="Verdana" w:hAnsi="Verdana"/>
          <w:sz w:val="18"/>
          <w:szCs w:val="18"/>
        </w:rPr>
        <w:t>Pago por meio de guia de recolhimento.</w:t>
      </w:r>
    </w:p>
    <w:p>
      <w:pPr>
        <w:pStyle w:val="Normal"/>
        <w:widowControl w:val="false"/>
        <w:numPr>
          <w:ilvl w:val="0"/>
          <w:numId w:val="2"/>
        </w:numPr>
        <w:ind w:left="720" w:right="-24" w:hanging="360"/>
        <w:rPr>
          <w:rFonts w:ascii="Verdana" w:hAnsi="Verdana" w:eastAsia="Verdana" w:cs="Verdana"/>
          <w:sz w:val="18"/>
          <w:szCs w:val="18"/>
        </w:rPr>
      </w:pPr>
      <w:r>
        <w:rPr>
          <w:rFonts w:eastAsia="Verdana" w:cs="Verdana" w:ascii="Verdana" w:hAnsi="Verdana"/>
          <w:sz w:val="18"/>
          <w:szCs w:val="18"/>
        </w:rPr>
        <w:t>Cobrado judicialmente.</w:t>
      </w:r>
    </w:p>
    <w:p>
      <w:pPr>
        <w:pStyle w:val="Normal"/>
        <w:widowControl w:val="false"/>
        <w:ind w:left="720" w:right="-24" w:hanging="0"/>
        <w:rPr>
          <w:rFonts w:ascii="Verdana" w:hAnsi="Verdana" w:eastAsia="Verdana" w:cs="Verdana"/>
          <w:sz w:val="18"/>
          <w:szCs w:val="18"/>
        </w:rPr>
      </w:pPr>
      <w:r>
        <w:rPr>
          <w:rFonts w:eastAsia="Verdana" w:cs="Verdana" w:ascii="Verdana" w:hAnsi="Verdana"/>
          <w:sz w:val="18"/>
          <w:szCs w:val="18"/>
        </w:rPr>
      </w:r>
    </w:p>
    <w:p>
      <w:pPr>
        <w:pStyle w:val="Normal"/>
        <w:widowControl w:val="false"/>
        <w:spacing w:before="0" w:after="240"/>
        <w:ind w:right="-24" w:hanging="0"/>
        <w:jc w:val="both"/>
        <w:rPr>
          <w:rFonts w:ascii="Verdana" w:hAnsi="Verdana" w:eastAsia="Verdana" w:cs="Verdana"/>
          <w:sz w:val="18"/>
          <w:szCs w:val="18"/>
        </w:rPr>
      </w:pPr>
      <w:r>
        <w:rPr>
          <w:rFonts w:eastAsia="Verdana" w:cs="Verdana" w:ascii="Verdana" w:hAnsi="Verdana"/>
          <w:sz w:val="18"/>
          <w:szCs w:val="18"/>
        </w:rPr>
        <w:t>x. Havendo créditos a serem recebidos pela contratada, a Administração somente fará o pagamento após descontar os valores relativos à obrigação financeira que lhe for imposta em virtude de penalidade.</w:t>
      </w:r>
    </w:p>
    <w:p>
      <w:pPr>
        <w:pStyle w:val="Normal"/>
        <w:widowControl w:val="false"/>
        <w:spacing w:before="240" w:after="240"/>
        <w:ind w:right="-24" w:hanging="0"/>
        <w:jc w:val="both"/>
        <w:rPr>
          <w:rFonts w:ascii="Verdana" w:hAnsi="Verdana" w:eastAsia="Verdana" w:cs="Verdana"/>
          <w:sz w:val="18"/>
          <w:szCs w:val="18"/>
        </w:rPr>
      </w:pPr>
      <w:r>
        <w:rPr>
          <w:rFonts w:eastAsia="Verdana" w:cs="Verdana" w:ascii="Verdana" w:hAnsi="Verdana"/>
          <w:sz w:val="18"/>
          <w:szCs w:val="18"/>
        </w:rPr>
        <w:t>xi. Se os valores do pagamento forem insuficientes, fica a contratada obrigada a recolher a importância devida no prazo de 15 (quinze) dias, contado da comunicação oficial.</w:t>
      </w:r>
    </w:p>
    <w:p>
      <w:pPr>
        <w:pStyle w:val="Normal"/>
        <w:widowControl w:val="false"/>
        <w:spacing w:before="240" w:after="240"/>
        <w:ind w:right="-24" w:hanging="0"/>
        <w:jc w:val="both"/>
        <w:rPr>
          <w:rFonts w:ascii="Verdana" w:hAnsi="Verdana" w:eastAsia="Verdana" w:cs="Verdana"/>
          <w:sz w:val="18"/>
          <w:szCs w:val="18"/>
        </w:rPr>
      </w:pPr>
      <w:r>
        <w:rPr>
          <w:rFonts w:eastAsia="Verdana" w:cs="Verdana" w:ascii="Verdana" w:hAnsi="Verdana"/>
          <w:sz w:val="18"/>
          <w:szCs w:val="18"/>
        </w:rPr>
        <w:t>xii. Na aplicação da multa, será facultada a defesa do interessado no prazo de 15 (quinze) dias úteis, contado da data de sua intimação.</w:t>
      </w:r>
    </w:p>
    <w:p>
      <w:pPr>
        <w:pStyle w:val="Normal"/>
        <w:widowControl w:val="false"/>
        <w:ind w:right="-24" w:hanging="0"/>
        <w:jc w:val="both"/>
        <w:rPr>
          <w:rFonts w:ascii="Verdana" w:hAnsi="Verdana" w:eastAsia="Verdana" w:cs="Verdana"/>
          <w:sz w:val="18"/>
          <w:szCs w:val="18"/>
        </w:rPr>
      </w:pPr>
      <w:r>
        <w:rPr>
          <w:rFonts w:eastAsia="Verdana" w:cs="Verdana" w:ascii="Verdana" w:hAnsi="Verdana"/>
          <w:sz w:val="18"/>
          <w:szCs w:val="18"/>
        </w:rPr>
        <w:t>xiii. A aplicação das sanções “impedimento de licitar e contratar” e “declaração de inidoneidade para licitar ou contratar” requererá a instauração de processo de responsabilização, a ser conduzido por comissão composta de 2 (dois) ou mais servidores estáveis, que avaliará fatos e circunstâncias conhecidos e intimará a contratada para, no prazo de 15 (quinze) dias úteis, contado da data de intimação, apresentar defesa escrita e especificar as provas que pretenda produzir.</w:t>
      </w:r>
    </w:p>
    <w:p>
      <w:pPr>
        <w:pStyle w:val="Normal"/>
        <w:widowControl w:val="false"/>
        <w:ind w:right="-24" w:hanging="0"/>
        <w:jc w:val="both"/>
        <w:rPr>
          <w:rFonts w:ascii="Verdana" w:hAnsi="Verdana" w:eastAsia="Verdana" w:cs="Verdana"/>
          <w:sz w:val="18"/>
          <w:szCs w:val="18"/>
        </w:rPr>
      </w:pPr>
      <w:r>
        <w:rPr>
          <w:rFonts w:eastAsia="Verdana" w:cs="Verdana" w:ascii="Verdana" w:hAnsi="Verdana"/>
          <w:sz w:val="18"/>
          <w:szCs w:val="18"/>
        </w:rPr>
      </w:r>
    </w:p>
    <w:p>
      <w:pPr>
        <w:pStyle w:val="Normal"/>
        <w:widowControl w:val="false"/>
        <w:ind w:right="-24" w:hanging="0"/>
        <w:jc w:val="both"/>
        <w:rPr>
          <w:rFonts w:ascii="Verdana" w:hAnsi="Verdana" w:eastAsia="Verdana" w:cs="Verdana"/>
          <w:sz w:val="18"/>
          <w:szCs w:val="18"/>
        </w:rPr>
      </w:pPr>
      <w:r>
        <w:rPr>
          <w:rFonts w:eastAsia="Verdana" w:cs="Verdana" w:ascii="Verdana" w:hAnsi="Verdana"/>
          <w:sz w:val="18"/>
          <w:szCs w:val="18"/>
        </w:rPr>
      </w:r>
    </w:p>
    <w:p>
      <w:pPr>
        <w:pStyle w:val="Normal"/>
        <w:shd w:val="clear" w:color="auto" w:fill="BFBFBF"/>
        <w:tabs>
          <w:tab w:val="clear" w:pos="720"/>
          <w:tab w:val="left" w:pos="425" w:leader="none"/>
        </w:tabs>
        <w:jc w:val="center"/>
        <w:rPr>
          <w:rFonts w:ascii="Calibri" w:hAnsi="Calibri" w:eastAsia="Calibri" w:cs="Calibri"/>
        </w:rPr>
      </w:pPr>
      <w:r>
        <w:rPr>
          <w:rFonts w:eastAsia="Verdana" w:cs="Verdana" w:ascii="Verdana" w:hAnsi="Verdana"/>
          <w:b/>
          <w:sz w:val="18"/>
          <w:szCs w:val="18"/>
        </w:rPr>
        <w:t>CLÁUSULA DÉCIMA SEGUNDA - DO RECEBIMENTO DO OBJETO</w:t>
      </w:r>
    </w:p>
    <w:p>
      <w:pPr>
        <w:pStyle w:val="Normal"/>
        <w:widowControl w:val="false"/>
        <w:spacing w:before="120" w:after="0"/>
        <w:ind w:right="-24" w:hanging="0"/>
        <w:jc w:val="both"/>
        <w:rPr>
          <w:rFonts w:ascii="Verdana" w:hAnsi="Verdana" w:eastAsia="Verdana" w:cs="Verdana"/>
          <w:sz w:val="18"/>
          <w:szCs w:val="18"/>
        </w:rPr>
      </w:pPr>
      <w:r>
        <w:rPr>
          <w:rFonts w:eastAsia="Verdana" w:cs="Verdana" w:ascii="Verdana" w:hAnsi="Verdana"/>
          <w:sz w:val="18"/>
          <w:szCs w:val="18"/>
        </w:rPr>
      </w:r>
    </w:p>
    <w:p>
      <w:pPr>
        <w:pStyle w:val="NormalWeb"/>
        <w:spacing w:beforeAutospacing="0" w:before="0" w:after="280"/>
        <w:jc w:val="both"/>
        <w:rPr>
          <w:rFonts w:ascii="Verdana" w:hAnsi="Verdana"/>
          <w:color w:val="000000"/>
          <w:sz w:val="18"/>
          <w:szCs w:val="18"/>
        </w:rPr>
      </w:pPr>
      <w:r>
        <w:rPr>
          <w:rFonts w:ascii="Verdana" w:hAnsi="Verdana"/>
          <w:b/>
          <w:bCs/>
          <w:color w:val="000000"/>
          <w:sz w:val="18"/>
          <w:szCs w:val="18"/>
        </w:rPr>
        <w:t>12.1 -</w:t>
      </w:r>
      <w:r>
        <w:rPr>
          <w:rFonts w:ascii="Verdana" w:hAnsi="Verdana"/>
          <w:color w:val="000000"/>
          <w:sz w:val="18"/>
          <w:szCs w:val="18"/>
        </w:rPr>
        <w:t xml:space="preserve"> Nos termos do art. 140, da lei 14.133/2021, executado o serviço, o seu objeto será recebido pelo responsável por seu acompanhamento e fiscalização, mediante recibo, assinado pelas partes, em até 15 (quinze) dias da comunicação escrita da CONTRATADA após a finalização do serviço, o qual será atestado pelo Fiscal do Contrato, conforme item 10.4 do Termo de Referência.</w:t>
      </w:r>
    </w:p>
    <w:p>
      <w:pPr>
        <w:pStyle w:val="NormalWeb"/>
        <w:spacing w:before="280" w:after="280"/>
        <w:jc w:val="both"/>
        <w:rPr>
          <w:rFonts w:ascii="Verdana" w:hAnsi="Verdana"/>
          <w:color w:val="000000"/>
          <w:sz w:val="18"/>
          <w:szCs w:val="18"/>
        </w:rPr>
      </w:pPr>
      <w:r>
        <w:rPr>
          <w:rFonts w:ascii="Verdana" w:hAnsi="Verdana"/>
          <w:b/>
          <w:bCs/>
          <w:color w:val="000000"/>
          <w:sz w:val="18"/>
          <w:szCs w:val="18"/>
        </w:rPr>
        <w:t>12.2 -</w:t>
      </w:r>
      <w:r>
        <w:rPr>
          <w:rFonts w:ascii="Verdana" w:hAnsi="Verdana"/>
          <w:color w:val="000000"/>
          <w:sz w:val="18"/>
          <w:szCs w:val="18"/>
        </w:rPr>
        <w:t xml:space="preserve"> O recebimento não exclui a responsabilidade civil pela solidez e segurança do serviço, nem ético-profissional pela perfeita execução do contrato, dentro dos limites estabelecidos pela lei ou pelo contrato.</w:t>
      </w:r>
    </w:p>
    <w:p>
      <w:pPr>
        <w:pStyle w:val="NormalWeb"/>
        <w:spacing w:before="280" w:after="280"/>
        <w:jc w:val="both"/>
        <w:rPr>
          <w:rFonts w:ascii="Verdana" w:hAnsi="Verdana"/>
          <w:color w:val="000000"/>
          <w:sz w:val="18"/>
          <w:szCs w:val="18"/>
        </w:rPr>
      </w:pPr>
      <w:r>
        <w:rPr>
          <w:rFonts w:ascii="Verdana" w:hAnsi="Verdana"/>
          <w:b/>
          <w:bCs/>
          <w:color w:val="000000"/>
          <w:sz w:val="18"/>
          <w:szCs w:val="18"/>
        </w:rPr>
        <w:t>12.3 -</w:t>
      </w:r>
      <w:r>
        <w:rPr>
          <w:rFonts w:ascii="Verdana" w:hAnsi="Verdana"/>
          <w:color w:val="000000"/>
          <w:sz w:val="18"/>
          <w:szCs w:val="18"/>
        </w:rPr>
        <w:t xml:space="preserve"> O recebimento do serviço fica condicionado ao aceite da qualidade dos serviços pela fiscalização.</w:t>
      </w:r>
    </w:p>
    <w:p>
      <w:pPr>
        <w:pStyle w:val="NormalWeb"/>
        <w:spacing w:before="280" w:afterAutospacing="0" w:after="0"/>
        <w:jc w:val="both"/>
        <w:rPr>
          <w:rFonts w:ascii="Verdana" w:hAnsi="Verdana"/>
          <w:color w:val="000000"/>
          <w:sz w:val="18"/>
          <w:szCs w:val="18"/>
        </w:rPr>
      </w:pPr>
      <w:r>
        <w:rPr>
          <w:rFonts w:ascii="Verdana" w:hAnsi="Verdana"/>
          <w:b/>
          <w:bCs/>
          <w:color w:val="000000"/>
          <w:sz w:val="18"/>
          <w:szCs w:val="18"/>
        </w:rPr>
        <w:t>12.4 -</w:t>
      </w:r>
      <w:r>
        <w:rPr>
          <w:rFonts w:ascii="Verdana" w:hAnsi="Verdana"/>
          <w:color w:val="000000"/>
          <w:sz w:val="18"/>
          <w:szCs w:val="18"/>
        </w:rPr>
        <w:t xml:space="preserve"> O recebimento definitivo será feito pelo fiscal do contrato em até 30 dias da comunicação da conclusão do serviço pela contratada através do envio dos relatórios de instalação digitalizados ao e-mail do gestor.</w:t>
      </w:r>
    </w:p>
    <w:p>
      <w:pPr>
        <w:pStyle w:val="Normal"/>
        <w:widowControl w:val="false"/>
        <w:ind w:right="-24" w:hanging="0"/>
        <w:jc w:val="both"/>
        <w:rPr>
          <w:rFonts w:ascii="Verdana" w:hAnsi="Verdana" w:eastAsia="Verdana" w:cs="Verdana"/>
          <w:sz w:val="18"/>
          <w:szCs w:val="18"/>
        </w:rPr>
      </w:pPr>
      <w:r>
        <w:rPr>
          <w:rFonts w:eastAsia="Verdana" w:cs="Verdana" w:ascii="Verdana" w:hAnsi="Verdana"/>
          <w:sz w:val="18"/>
          <w:szCs w:val="18"/>
        </w:rPr>
      </w:r>
    </w:p>
    <w:p>
      <w:pPr>
        <w:pStyle w:val="Normal"/>
        <w:widowControl w:val="false"/>
        <w:ind w:right="-24" w:hanging="0"/>
        <w:jc w:val="both"/>
        <w:rPr>
          <w:rFonts w:ascii="Verdana" w:hAnsi="Verdana" w:eastAsia="Verdana" w:cs="Verdana"/>
          <w:sz w:val="18"/>
          <w:szCs w:val="18"/>
        </w:rPr>
      </w:pPr>
      <w:r>
        <w:rPr>
          <w:rFonts w:eastAsia="Verdana" w:cs="Verdana" w:ascii="Verdana" w:hAnsi="Verdana"/>
          <w:sz w:val="18"/>
          <w:szCs w:val="18"/>
        </w:rPr>
      </w:r>
    </w:p>
    <w:p>
      <w:pPr>
        <w:pStyle w:val="Normal"/>
        <w:shd w:val="clear" w:color="auto" w:fill="BFBFBF"/>
        <w:tabs>
          <w:tab w:val="clear" w:pos="720"/>
          <w:tab w:val="left" w:pos="425" w:leader="none"/>
        </w:tabs>
        <w:jc w:val="center"/>
        <w:rPr>
          <w:rFonts w:ascii="Calibri" w:hAnsi="Calibri" w:eastAsia="Calibri" w:cs="Calibri"/>
        </w:rPr>
      </w:pPr>
      <w:r>
        <w:rPr>
          <w:rFonts w:eastAsia="Verdana" w:cs="Verdana" w:ascii="Verdana" w:hAnsi="Verdana"/>
          <w:b/>
          <w:sz w:val="18"/>
          <w:szCs w:val="18"/>
        </w:rPr>
        <w:t>CLÁUSULA DÉCIMA TERCEIRA - DA EXTINÇÃO CONTRATUAL</w:t>
      </w:r>
    </w:p>
    <w:p>
      <w:pPr>
        <w:pStyle w:val="Normal"/>
        <w:tabs>
          <w:tab w:val="clear" w:pos="720"/>
          <w:tab w:val="left" w:pos="425" w:leader="none"/>
        </w:tabs>
        <w:ind w:left="686" w:hanging="0"/>
        <w:jc w:val="center"/>
        <w:rPr>
          <w:rFonts w:ascii="Verdana" w:hAnsi="Verdana" w:eastAsia="Verdana" w:cs="Verdana"/>
          <w:b/>
          <w:b/>
          <w:sz w:val="18"/>
          <w:szCs w:val="18"/>
        </w:rPr>
      </w:pPr>
      <w:r>
        <w:rPr>
          <w:rFonts w:eastAsia="Verdana" w:cs="Verdana" w:ascii="Verdana" w:hAnsi="Verdana"/>
          <w:b/>
          <w:sz w:val="18"/>
          <w:szCs w:val="18"/>
        </w:rPr>
      </w:r>
    </w:p>
    <w:p>
      <w:pPr>
        <w:pStyle w:val="Normal"/>
        <w:widowControl w:val="false"/>
        <w:jc w:val="both"/>
        <w:rPr>
          <w:rFonts w:ascii="Calibri" w:hAnsi="Calibri" w:eastAsia="Calibri" w:cs="Calibri"/>
        </w:rPr>
      </w:pPr>
      <w:r>
        <w:rPr>
          <w:rFonts w:eastAsia="Verdana" w:cs="Verdana" w:ascii="Verdana" w:hAnsi="Verdana"/>
          <w:b/>
          <w:sz w:val="18"/>
          <w:szCs w:val="18"/>
        </w:rPr>
        <w:t>13.1 -</w:t>
        <w:tab/>
      </w:r>
      <w:r>
        <w:rPr>
          <w:rFonts w:eastAsia="Verdana" w:cs="Verdana" w:ascii="Verdana" w:hAnsi="Verdana"/>
          <w:sz w:val="18"/>
          <w:szCs w:val="18"/>
        </w:rPr>
        <w:t>O contrato se extingue quando vencido o prazo nele estipulado, independentemente de terem sido cumpridas ou não as obrigações de ambas as partes contraentes.</w:t>
      </w:r>
    </w:p>
    <w:p>
      <w:pPr>
        <w:pStyle w:val="Normal"/>
        <w:widowControl w:val="false"/>
        <w:jc w:val="both"/>
        <w:rPr>
          <w:rFonts w:ascii="Verdana" w:hAnsi="Verdana" w:eastAsia="Verdana" w:cs="Verdana"/>
          <w:b/>
          <w:b/>
          <w:sz w:val="18"/>
          <w:szCs w:val="18"/>
        </w:rPr>
      </w:pPr>
      <w:r>
        <w:rPr>
          <w:rFonts w:eastAsia="Verdana" w:cs="Verdana" w:ascii="Verdana" w:hAnsi="Verdana"/>
          <w:b/>
          <w:sz w:val="18"/>
          <w:szCs w:val="18"/>
        </w:rPr>
      </w:r>
    </w:p>
    <w:p>
      <w:pPr>
        <w:pStyle w:val="Normal"/>
        <w:widowControl w:val="false"/>
        <w:jc w:val="both"/>
        <w:rPr>
          <w:rFonts w:ascii="Calibri" w:hAnsi="Calibri" w:eastAsia="Calibri" w:cs="Calibri"/>
        </w:rPr>
      </w:pPr>
      <w:r>
        <w:rPr>
          <w:rFonts w:eastAsia="Verdana" w:cs="Verdana" w:ascii="Verdana" w:hAnsi="Verdana"/>
          <w:b/>
          <w:sz w:val="18"/>
          <w:szCs w:val="18"/>
        </w:rPr>
        <w:t>13.2 -</w:t>
      </w:r>
      <w:r>
        <w:rPr>
          <w:rFonts w:eastAsia="Verdana" w:cs="Verdana" w:ascii="Verdana" w:hAnsi="Verdana"/>
          <w:sz w:val="18"/>
          <w:szCs w:val="18"/>
        </w:rPr>
        <w:tab/>
        <w:t>O contrato pode ser extinto antes de cumpridas as obrigações nele estipuladas, ou antes do prazo nele fixado, por algum dos motivos previstos no artigo 137 da Lei nº 14.133/21, bem como amigavelmente, assegurados o contraditório e a ampla defesa.</w:t>
      </w:r>
    </w:p>
    <w:p>
      <w:pPr>
        <w:pStyle w:val="Normal"/>
        <w:widowControl w:val="false"/>
        <w:jc w:val="both"/>
        <w:rPr>
          <w:rFonts w:ascii="Verdana" w:hAnsi="Verdana" w:eastAsia="Verdana" w:cs="Verdana"/>
          <w:b/>
          <w:b/>
          <w:sz w:val="18"/>
          <w:szCs w:val="18"/>
        </w:rPr>
      </w:pPr>
      <w:r>
        <w:rPr>
          <w:rFonts w:eastAsia="Verdana" w:cs="Verdana" w:ascii="Verdana" w:hAnsi="Verdana"/>
          <w:b/>
          <w:sz w:val="18"/>
          <w:szCs w:val="18"/>
        </w:rPr>
      </w:r>
    </w:p>
    <w:p>
      <w:pPr>
        <w:pStyle w:val="Normal"/>
        <w:widowControl w:val="false"/>
        <w:jc w:val="both"/>
        <w:rPr>
          <w:rFonts w:ascii="Calibri" w:hAnsi="Calibri" w:eastAsia="Calibri" w:cs="Calibri"/>
        </w:rPr>
      </w:pPr>
      <w:r>
        <w:rPr>
          <w:rFonts w:eastAsia="Verdana" w:cs="Verdana" w:ascii="Verdana" w:hAnsi="Verdana"/>
          <w:b/>
          <w:sz w:val="18"/>
          <w:szCs w:val="18"/>
        </w:rPr>
        <w:t>13.2.1 -</w:t>
      </w:r>
      <w:r>
        <w:rPr>
          <w:rFonts w:eastAsia="Verdana" w:cs="Verdana" w:ascii="Verdana" w:hAnsi="Verdana"/>
          <w:sz w:val="18"/>
          <w:szCs w:val="18"/>
        </w:rPr>
        <w:t xml:space="preserve"> Nesta hipótese, aplicam-se também os artigos 138 e 139 da mesma Lei.</w:t>
      </w:r>
    </w:p>
    <w:p>
      <w:pPr>
        <w:pStyle w:val="Normal"/>
        <w:widowControl w:val="false"/>
        <w:jc w:val="both"/>
        <w:rPr>
          <w:rFonts w:ascii="Verdana" w:hAnsi="Verdana" w:eastAsia="Verdana" w:cs="Verdana"/>
          <w:b/>
          <w:b/>
          <w:sz w:val="18"/>
          <w:szCs w:val="18"/>
        </w:rPr>
      </w:pPr>
      <w:r>
        <w:rPr>
          <w:rFonts w:eastAsia="Verdana" w:cs="Verdana" w:ascii="Verdana" w:hAnsi="Verdana"/>
          <w:b/>
          <w:sz w:val="18"/>
          <w:szCs w:val="18"/>
        </w:rPr>
      </w:r>
    </w:p>
    <w:p>
      <w:pPr>
        <w:pStyle w:val="Normal"/>
        <w:widowControl w:val="false"/>
        <w:jc w:val="both"/>
        <w:rPr>
          <w:rFonts w:ascii="Calibri" w:hAnsi="Calibri" w:eastAsia="Calibri" w:cs="Calibri"/>
        </w:rPr>
      </w:pPr>
      <w:r>
        <w:rPr>
          <w:rFonts w:eastAsia="Verdana" w:cs="Verdana" w:ascii="Verdana" w:hAnsi="Verdana"/>
          <w:b/>
          <w:sz w:val="18"/>
          <w:szCs w:val="18"/>
        </w:rPr>
        <w:t xml:space="preserve">13.2.2 - </w:t>
      </w:r>
      <w:r>
        <w:rPr>
          <w:rFonts w:eastAsia="Verdana" w:cs="Verdana" w:ascii="Verdana" w:hAnsi="Verdana"/>
          <w:sz w:val="18"/>
          <w:szCs w:val="18"/>
        </w:rPr>
        <w:t>A alteração social ou a modificação da finalidade ou da estrutura da empresa não ensejará a rescisão se não restringir sua capacidade de concluir o contrato.</w:t>
      </w:r>
    </w:p>
    <w:p>
      <w:pPr>
        <w:pStyle w:val="Normal"/>
        <w:widowControl w:val="false"/>
        <w:jc w:val="both"/>
        <w:rPr>
          <w:rFonts w:ascii="Verdana" w:hAnsi="Verdana" w:eastAsia="Verdana" w:cs="Verdana"/>
          <w:b/>
          <w:b/>
          <w:sz w:val="18"/>
          <w:szCs w:val="18"/>
        </w:rPr>
      </w:pPr>
      <w:r>
        <w:rPr>
          <w:rFonts w:eastAsia="Verdana" w:cs="Verdana" w:ascii="Verdana" w:hAnsi="Verdana"/>
          <w:b/>
          <w:sz w:val="18"/>
          <w:szCs w:val="18"/>
        </w:rPr>
      </w:r>
    </w:p>
    <w:p>
      <w:pPr>
        <w:pStyle w:val="Normal"/>
        <w:widowControl w:val="false"/>
        <w:jc w:val="both"/>
        <w:rPr>
          <w:rFonts w:ascii="Calibri" w:hAnsi="Calibri" w:eastAsia="Calibri" w:cs="Calibri"/>
        </w:rPr>
      </w:pPr>
      <w:r>
        <w:rPr>
          <w:rFonts w:eastAsia="Verdana" w:cs="Verdana" w:ascii="Verdana" w:hAnsi="Verdana"/>
          <w:b/>
          <w:sz w:val="18"/>
          <w:szCs w:val="18"/>
        </w:rPr>
        <w:t xml:space="preserve">13.2.2.1 - </w:t>
      </w:r>
      <w:r>
        <w:rPr>
          <w:rFonts w:eastAsia="Verdana" w:cs="Verdana" w:ascii="Verdana" w:hAnsi="Verdana"/>
          <w:sz w:val="18"/>
          <w:szCs w:val="18"/>
        </w:rPr>
        <w:t>Se a operação implicar mudança da pessoa jurídica contratada, deverá ser formalizado termo aditivo para alteração subjetiva.</w:t>
      </w:r>
    </w:p>
    <w:p>
      <w:pPr>
        <w:pStyle w:val="Normal"/>
        <w:widowControl w:val="false"/>
        <w:jc w:val="both"/>
        <w:rPr>
          <w:rFonts w:ascii="Verdana" w:hAnsi="Verdana" w:eastAsia="Verdana" w:cs="Verdana"/>
          <w:b/>
          <w:b/>
          <w:sz w:val="18"/>
          <w:szCs w:val="18"/>
        </w:rPr>
      </w:pPr>
      <w:r>
        <w:rPr>
          <w:rFonts w:eastAsia="Verdana" w:cs="Verdana" w:ascii="Verdana" w:hAnsi="Verdana"/>
          <w:b/>
          <w:sz w:val="18"/>
          <w:szCs w:val="18"/>
        </w:rPr>
      </w:r>
    </w:p>
    <w:p>
      <w:pPr>
        <w:pStyle w:val="Normal"/>
        <w:widowControl w:val="false"/>
        <w:jc w:val="both"/>
        <w:rPr>
          <w:rFonts w:ascii="Calibri" w:hAnsi="Calibri" w:eastAsia="Calibri" w:cs="Calibri"/>
        </w:rPr>
      </w:pPr>
      <w:r>
        <w:rPr>
          <w:rFonts w:eastAsia="Verdana" w:cs="Verdana" w:ascii="Verdana" w:hAnsi="Verdana"/>
          <w:b/>
          <w:sz w:val="18"/>
          <w:szCs w:val="18"/>
        </w:rPr>
        <w:t xml:space="preserve">13.3 - </w:t>
      </w:r>
      <w:r>
        <w:rPr>
          <w:rFonts w:eastAsia="Verdana" w:cs="Verdana" w:ascii="Verdana" w:hAnsi="Verdana"/>
          <w:sz w:val="18"/>
          <w:szCs w:val="18"/>
        </w:rPr>
        <w:t>O termo de rescisão, sempre que possível, será precedido de:</w:t>
      </w:r>
    </w:p>
    <w:p>
      <w:pPr>
        <w:pStyle w:val="Normal"/>
        <w:widowControl w:val="false"/>
        <w:jc w:val="both"/>
        <w:rPr>
          <w:rFonts w:ascii="Verdana" w:hAnsi="Verdana" w:eastAsia="Verdana" w:cs="Verdana"/>
          <w:b/>
          <w:b/>
          <w:sz w:val="18"/>
          <w:szCs w:val="18"/>
        </w:rPr>
      </w:pPr>
      <w:r>
        <w:rPr>
          <w:rFonts w:eastAsia="Verdana" w:cs="Verdana" w:ascii="Verdana" w:hAnsi="Verdana"/>
          <w:b/>
          <w:sz w:val="18"/>
          <w:szCs w:val="18"/>
        </w:rPr>
      </w:r>
    </w:p>
    <w:p>
      <w:pPr>
        <w:pStyle w:val="Normal"/>
        <w:widowControl w:val="false"/>
        <w:jc w:val="both"/>
        <w:rPr>
          <w:rFonts w:ascii="Calibri" w:hAnsi="Calibri" w:eastAsia="Calibri" w:cs="Calibri"/>
        </w:rPr>
      </w:pPr>
      <w:r>
        <w:rPr>
          <w:rFonts w:eastAsia="Verdana" w:cs="Verdana" w:ascii="Verdana" w:hAnsi="Verdana"/>
          <w:b/>
          <w:sz w:val="18"/>
          <w:szCs w:val="18"/>
        </w:rPr>
        <w:t xml:space="preserve">13.3.1 - </w:t>
      </w:r>
      <w:r>
        <w:rPr>
          <w:rFonts w:eastAsia="Verdana" w:cs="Verdana" w:ascii="Verdana" w:hAnsi="Verdana"/>
          <w:sz w:val="18"/>
          <w:szCs w:val="18"/>
        </w:rPr>
        <w:t>Balanço dos eventos contratuais já cumpridos ou parcialmente cumpridos;</w:t>
      </w:r>
    </w:p>
    <w:p>
      <w:pPr>
        <w:pStyle w:val="Normal"/>
        <w:widowControl w:val="false"/>
        <w:jc w:val="both"/>
        <w:rPr>
          <w:rFonts w:ascii="Verdana" w:hAnsi="Verdana" w:eastAsia="Verdana" w:cs="Verdana"/>
          <w:b/>
          <w:b/>
          <w:sz w:val="18"/>
          <w:szCs w:val="18"/>
        </w:rPr>
      </w:pPr>
      <w:r>
        <w:rPr>
          <w:rFonts w:eastAsia="Verdana" w:cs="Verdana" w:ascii="Verdana" w:hAnsi="Verdana"/>
          <w:b/>
          <w:sz w:val="18"/>
          <w:szCs w:val="18"/>
        </w:rPr>
      </w:r>
    </w:p>
    <w:p>
      <w:pPr>
        <w:pStyle w:val="Normal"/>
        <w:widowControl w:val="false"/>
        <w:jc w:val="both"/>
        <w:rPr>
          <w:rFonts w:ascii="Calibri" w:hAnsi="Calibri" w:eastAsia="Calibri" w:cs="Calibri"/>
        </w:rPr>
      </w:pPr>
      <w:r>
        <w:rPr>
          <w:rFonts w:eastAsia="Verdana" w:cs="Verdana" w:ascii="Verdana" w:hAnsi="Verdana"/>
          <w:b/>
          <w:sz w:val="18"/>
          <w:szCs w:val="18"/>
        </w:rPr>
        <w:t xml:space="preserve">13.3.2 - </w:t>
      </w:r>
      <w:r>
        <w:rPr>
          <w:rFonts w:eastAsia="Verdana" w:cs="Verdana" w:ascii="Verdana" w:hAnsi="Verdana"/>
          <w:sz w:val="18"/>
          <w:szCs w:val="18"/>
        </w:rPr>
        <w:t>Relação dos pagamentos já efetuados e ainda devidos;</w:t>
      </w:r>
    </w:p>
    <w:p>
      <w:pPr>
        <w:pStyle w:val="Normal"/>
        <w:widowControl w:val="false"/>
        <w:jc w:val="both"/>
        <w:rPr>
          <w:rFonts w:ascii="Verdana" w:hAnsi="Verdana" w:eastAsia="Verdana" w:cs="Verdana"/>
          <w:b/>
          <w:b/>
          <w:sz w:val="18"/>
          <w:szCs w:val="18"/>
        </w:rPr>
      </w:pPr>
      <w:r>
        <w:rPr>
          <w:rFonts w:eastAsia="Verdana" w:cs="Verdana" w:ascii="Verdana" w:hAnsi="Verdana"/>
          <w:b/>
          <w:sz w:val="18"/>
          <w:szCs w:val="18"/>
        </w:rPr>
      </w:r>
    </w:p>
    <w:p>
      <w:pPr>
        <w:pStyle w:val="Normal"/>
        <w:widowControl w:val="false"/>
        <w:jc w:val="both"/>
        <w:rPr>
          <w:rFonts w:ascii="Calibri" w:hAnsi="Calibri" w:eastAsia="Calibri" w:cs="Calibri"/>
        </w:rPr>
      </w:pPr>
      <w:r>
        <w:rPr>
          <w:rFonts w:eastAsia="Verdana" w:cs="Verdana" w:ascii="Verdana" w:hAnsi="Verdana"/>
          <w:b/>
          <w:sz w:val="18"/>
          <w:szCs w:val="18"/>
        </w:rPr>
        <w:t xml:space="preserve">13.3.3 - </w:t>
      </w:r>
      <w:r>
        <w:rPr>
          <w:rFonts w:eastAsia="Verdana" w:cs="Verdana" w:ascii="Verdana" w:hAnsi="Verdana"/>
          <w:sz w:val="18"/>
          <w:szCs w:val="18"/>
        </w:rPr>
        <w:t>Indenizações e multas.</w:t>
      </w:r>
    </w:p>
    <w:p>
      <w:pPr>
        <w:pStyle w:val="Normal"/>
        <w:widowControl w:val="false"/>
        <w:jc w:val="both"/>
        <w:rPr>
          <w:rFonts w:ascii="Verdana" w:hAnsi="Verdana" w:eastAsia="Verdana" w:cs="Verdana"/>
          <w:b/>
          <w:b/>
          <w:sz w:val="18"/>
          <w:szCs w:val="18"/>
        </w:rPr>
      </w:pPr>
      <w:r>
        <w:rPr>
          <w:rFonts w:eastAsia="Verdana" w:cs="Verdana" w:ascii="Verdana" w:hAnsi="Verdana"/>
          <w:b/>
          <w:sz w:val="18"/>
          <w:szCs w:val="18"/>
        </w:rPr>
      </w:r>
    </w:p>
    <w:p>
      <w:pPr>
        <w:pStyle w:val="Normal"/>
        <w:widowControl w:val="false"/>
        <w:jc w:val="both"/>
        <w:rPr>
          <w:rFonts w:ascii="Verdana" w:hAnsi="Verdana" w:eastAsia="Verdana" w:cs="Verdana"/>
          <w:sz w:val="18"/>
          <w:szCs w:val="18"/>
        </w:rPr>
      </w:pPr>
      <w:r>
        <w:rPr>
          <w:rFonts w:eastAsia="Verdana" w:cs="Verdana" w:ascii="Verdana" w:hAnsi="Verdana"/>
          <w:b/>
          <w:sz w:val="18"/>
          <w:szCs w:val="18"/>
        </w:rPr>
        <w:t xml:space="preserve">13.4 - </w:t>
      </w:r>
      <w:r>
        <w:rPr>
          <w:rFonts w:eastAsia="Verdana" w:cs="Verdana" w:ascii="Verdana" w:hAnsi="Verdana"/>
          <w:sz w:val="18"/>
          <w:szCs w:val="18"/>
        </w:rPr>
        <w:t xml:space="preserve">A extinção do contrato não configura óbice para o reconhecimento do desequilíbrio econômico-financeiro, hipótese em que será concedida indenização por meio de termo indenizatório, conforme disposto no art. 131, caput, da Lei n.º 14.133, de 2021. </w:t>
      </w:r>
    </w:p>
    <w:p>
      <w:pPr>
        <w:pStyle w:val="Normal"/>
        <w:widowControl w:val="false"/>
        <w:jc w:val="both"/>
        <w:rPr>
          <w:rFonts w:ascii="Verdana" w:hAnsi="Verdana" w:eastAsia="Verdana" w:cs="Verdana"/>
          <w:sz w:val="18"/>
          <w:szCs w:val="18"/>
        </w:rPr>
      </w:pPr>
      <w:r>
        <w:rPr>
          <w:rFonts w:eastAsia="Verdana" w:cs="Verdana" w:ascii="Verdana" w:hAnsi="Verdana"/>
          <w:sz w:val="18"/>
          <w:szCs w:val="18"/>
        </w:rPr>
      </w:r>
    </w:p>
    <w:p>
      <w:pPr>
        <w:pStyle w:val="NormalWeb"/>
        <w:spacing w:lineRule="auto" w:line="360" w:beforeAutospacing="0" w:before="0" w:afterAutospacing="0" w:after="0"/>
        <w:rPr>
          <w:rFonts w:ascii="Verdana" w:hAnsi="Verdana"/>
          <w:color w:val="000000"/>
          <w:sz w:val="18"/>
          <w:szCs w:val="18"/>
        </w:rPr>
      </w:pPr>
      <w:r>
        <w:rPr>
          <w:rFonts w:ascii="Verdana" w:hAnsi="Verdana"/>
          <w:b/>
          <w:bCs/>
          <w:color w:val="000000"/>
          <w:sz w:val="18"/>
          <w:szCs w:val="18"/>
        </w:rPr>
        <w:t>13.5</w:t>
      </w:r>
      <w:r>
        <w:rPr>
          <w:rFonts w:ascii="Verdana" w:hAnsi="Verdana"/>
          <w:color w:val="000000"/>
          <w:sz w:val="18"/>
          <w:szCs w:val="18"/>
        </w:rPr>
        <w:t xml:space="preserve"> - Constituem motivo para rescisão do contrato:</w:t>
      </w:r>
    </w:p>
    <w:p>
      <w:pPr>
        <w:pStyle w:val="NormalWeb"/>
        <w:numPr>
          <w:ilvl w:val="0"/>
          <w:numId w:val="4"/>
        </w:numPr>
        <w:spacing w:beforeAutospacing="0" w:before="0" w:afterAutospacing="0" w:after="0"/>
        <w:jc w:val="both"/>
        <w:rPr>
          <w:rFonts w:ascii="Verdana" w:hAnsi="Verdana"/>
          <w:color w:val="000000"/>
          <w:sz w:val="18"/>
          <w:szCs w:val="18"/>
        </w:rPr>
      </w:pPr>
      <w:r>
        <w:rPr>
          <w:rFonts w:ascii="Verdana" w:hAnsi="Verdana"/>
          <w:color w:val="000000"/>
          <w:sz w:val="18"/>
          <w:szCs w:val="18"/>
        </w:rPr>
        <w:t>O não cumprimento de cláusulas contratuais, especificações, projetos ou prazos.</w:t>
      </w:r>
    </w:p>
    <w:p>
      <w:pPr>
        <w:pStyle w:val="NormalWeb"/>
        <w:numPr>
          <w:ilvl w:val="0"/>
          <w:numId w:val="4"/>
        </w:numPr>
        <w:spacing w:beforeAutospacing="0" w:before="0" w:afterAutospacing="0" w:after="0"/>
        <w:jc w:val="both"/>
        <w:rPr>
          <w:rFonts w:ascii="Verdana" w:hAnsi="Verdana"/>
          <w:color w:val="000000"/>
          <w:sz w:val="18"/>
          <w:szCs w:val="18"/>
        </w:rPr>
      </w:pPr>
      <w:r>
        <w:rPr>
          <w:rFonts w:ascii="Verdana" w:hAnsi="Verdana"/>
          <w:color w:val="000000"/>
          <w:sz w:val="18"/>
          <w:szCs w:val="18"/>
        </w:rPr>
        <w:t>O cumprimento irregular de cláusulas contratuais, especificações, projetos e prazos.</w:t>
      </w:r>
    </w:p>
    <w:p>
      <w:pPr>
        <w:pStyle w:val="NormalWeb"/>
        <w:numPr>
          <w:ilvl w:val="0"/>
          <w:numId w:val="4"/>
        </w:numPr>
        <w:spacing w:beforeAutospacing="0" w:before="0" w:afterAutospacing="0" w:after="0"/>
        <w:jc w:val="both"/>
        <w:rPr>
          <w:rFonts w:ascii="Verdana" w:hAnsi="Verdana"/>
          <w:color w:val="000000"/>
          <w:sz w:val="18"/>
          <w:szCs w:val="18"/>
        </w:rPr>
      </w:pPr>
      <w:r>
        <w:rPr>
          <w:rFonts w:ascii="Verdana" w:hAnsi="Verdana"/>
          <w:color w:val="000000"/>
          <w:sz w:val="18"/>
          <w:szCs w:val="18"/>
        </w:rPr>
        <w:t>A lentidão do seu cumprimento, levando a Administração a comprovar a impossibilidade da conclusão do serviço ou do fornecimento, nos prazos estipulado.</w:t>
      </w:r>
    </w:p>
    <w:p>
      <w:pPr>
        <w:pStyle w:val="NormalWeb"/>
        <w:numPr>
          <w:ilvl w:val="0"/>
          <w:numId w:val="4"/>
        </w:numPr>
        <w:spacing w:beforeAutospacing="0" w:before="0" w:afterAutospacing="0" w:after="0"/>
        <w:jc w:val="both"/>
        <w:rPr>
          <w:rFonts w:ascii="Verdana" w:hAnsi="Verdana"/>
          <w:color w:val="000000"/>
          <w:sz w:val="18"/>
          <w:szCs w:val="18"/>
        </w:rPr>
      </w:pPr>
      <w:r>
        <w:rPr>
          <w:rFonts w:ascii="Verdana" w:hAnsi="Verdana"/>
          <w:color w:val="000000"/>
          <w:sz w:val="18"/>
          <w:szCs w:val="18"/>
        </w:rPr>
        <w:t>O atraso injustificado no início do serviço ou fornecimento.</w:t>
      </w:r>
    </w:p>
    <w:p>
      <w:pPr>
        <w:pStyle w:val="NormalWeb"/>
        <w:numPr>
          <w:ilvl w:val="0"/>
          <w:numId w:val="4"/>
        </w:numPr>
        <w:spacing w:beforeAutospacing="0" w:before="0" w:afterAutospacing="0" w:after="0"/>
        <w:jc w:val="both"/>
        <w:rPr>
          <w:rFonts w:ascii="Verdana" w:hAnsi="Verdana"/>
          <w:color w:val="000000"/>
          <w:sz w:val="18"/>
          <w:szCs w:val="18"/>
        </w:rPr>
      </w:pPr>
      <w:r>
        <w:rPr>
          <w:rFonts w:ascii="Verdana" w:hAnsi="Verdana"/>
          <w:color w:val="000000"/>
          <w:sz w:val="18"/>
          <w:szCs w:val="18"/>
        </w:rPr>
        <w:t>A paralisação do serviço ou do fornecimento, sem justa causa e prévia comunicação à Administração.</w:t>
      </w:r>
    </w:p>
    <w:p>
      <w:pPr>
        <w:pStyle w:val="NormalWeb"/>
        <w:numPr>
          <w:ilvl w:val="0"/>
          <w:numId w:val="4"/>
        </w:numPr>
        <w:spacing w:beforeAutospacing="0" w:before="0" w:afterAutospacing="0" w:after="0"/>
        <w:jc w:val="both"/>
        <w:rPr>
          <w:rFonts w:ascii="Verdana" w:hAnsi="Verdana"/>
          <w:color w:val="000000"/>
          <w:sz w:val="18"/>
          <w:szCs w:val="18"/>
        </w:rPr>
      </w:pPr>
      <w:r>
        <w:rPr>
          <w:rFonts w:ascii="Verdana" w:hAnsi="Verdana"/>
          <w:color w:val="000000"/>
          <w:sz w:val="18"/>
          <w:szCs w:val="18"/>
        </w:rPr>
        <w:t>A subcontratação total ou parcial do seu objeto, a associação do contratado com outrem, a cessão ou transferência, total ou parcial, bem como a fusão, cisão ou incorporação, não admitidas no edital e no contrato.</w:t>
      </w:r>
    </w:p>
    <w:p>
      <w:pPr>
        <w:pStyle w:val="NormalWeb"/>
        <w:numPr>
          <w:ilvl w:val="0"/>
          <w:numId w:val="4"/>
        </w:numPr>
        <w:spacing w:beforeAutospacing="0" w:before="0" w:afterAutospacing="0" w:after="0"/>
        <w:jc w:val="both"/>
        <w:rPr>
          <w:rFonts w:ascii="Verdana" w:hAnsi="Verdana"/>
          <w:color w:val="000000"/>
          <w:sz w:val="18"/>
          <w:szCs w:val="18"/>
        </w:rPr>
      </w:pPr>
      <w:r>
        <w:rPr>
          <w:rFonts w:ascii="Verdana" w:hAnsi="Verdana"/>
          <w:color w:val="000000"/>
          <w:sz w:val="18"/>
          <w:szCs w:val="18"/>
        </w:rPr>
        <w:t>O desatendimento das determinações regulares da autoridade designada para acompanhar e fiscalizar a sua execução, assim como as de seus superiores.</w:t>
      </w:r>
    </w:p>
    <w:p>
      <w:pPr>
        <w:pStyle w:val="NormalWeb"/>
        <w:numPr>
          <w:ilvl w:val="0"/>
          <w:numId w:val="4"/>
        </w:numPr>
        <w:spacing w:beforeAutospacing="0" w:before="0" w:afterAutospacing="0" w:after="0"/>
        <w:jc w:val="both"/>
        <w:rPr>
          <w:rFonts w:ascii="Verdana" w:hAnsi="Verdana"/>
          <w:color w:val="000000"/>
          <w:sz w:val="18"/>
          <w:szCs w:val="18"/>
        </w:rPr>
      </w:pPr>
      <w:r>
        <w:rPr>
          <w:rFonts w:ascii="Verdana" w:hAnsi="Verdana"/>
          <w:color w:val="000000"/>
          <w:sz w:val="18"/>
          <w:szCs w:val="18"/>
        </w:rPr>
        <w:t>O cometimento reiterado de faltas na sua execução, anotadas no registro próprio, na forma do § 1º do art. 117 da Lei n.º 14.333/2021.</w:t>
      </w:r>
    </w:p>
    <w:p>
      <w:pPr>
        <w:pStyle w:val="NormalWeb"/>
        <w:numPr>
          <w:ilvl w:val="0"/>
          <w:numId w:val="4"/>
        </w:numPr>
        <w:spacing w:beforeAutospacing="0" w:before="0" w:afterAutospacing="0" w:after="0"/>
        <w:jc w:val="both"/>
        <w:rPr>
          <w:rFonts w:ascii="Verdana" w:hAnsi="Verdana"/>
          <w:color w:val="000000"/>
          <w:sz w:val="18"/>
          <w:szCs w:val="18"/>
        </w:rPr>
      </w:pPr>
      <w:r>
        <w:rPr>
          <w:rFonts w:ascii="Verdana" w:hAnsi="Verdana"/>
          <w:color w:val="000000"/>
          <w:sz w:val="18"/>
          <w:szCs w:val="18"/>
        </w:rPr>
        <w:t>A decretação de falência ou a instauração de insolvência civil.</w:t>
      </w:r>
    </w:p>
    <w:p>
      <w:pPr>
        <w:pStyle w:val="NormalWeb"/>
        <w:numPr>
          <w:ilvl w:val="0"/>
          <w:numId w:val="4"/>
        </w:numPr>
        <w:spacing w:beforeAutospacing="0" w:before="0" w:afterAutospacing="0" w:after="0"/>
        <w:jc w:val="both"/>
        <w:rPr>
          <w:rFonts w:ascii="Verdana" w:hAnsi="Verdana"/>
          <w:color w:val="000000"/>
          <w:sz w:val="18"/>
          <w:szCs w:val="18"/>
        </w:rPr>
      </w:pPr>
      <w:r>
        <w:rPr>
          <w:rFonts w:ascii="Verdana" w:hAnsi="Verdana"/>
          <w:color w:val="000000"/>
          <w:sz w:val="18"/>
          <w:szCs w:val="18"/>
        </w:rPr>
        <w:t>A dissolução da sociedade ou o falecimento do contratado.</w:t>
      </w:r>
    </w:p>
    <w:p>
      <w:pPr>
        <w:pStyle w:val="NormalWeb"/>
        <w:numPr>
          <w:ilvl w:val="0"/>
          <w:numId w:val="4"/>
        </w:numPr>
        <w:spacing w:beforeAutospacing="0" w:before="0" w:afterAutospacing="0" w:after="0"/>
        <w:jc w:val="both"/>
        <w:rPr>
          <w:rFonts w:ascii="Verdana" w:hAnsi="Verdana"/>
          <w:color w:val="000000"/>
          <w:sz w:val="18"/>
          <w:szCs w:val="18"/>
        </w:rPr>
      </w:pPr>
      <w:r>
        <w:rPr>
          <w:rFonts w:ascii="Verdana" w:hAnsi="Verdana"/>
          <w:color w:val="000000"/>
          <w:sz w:val="18"/>
          <w:szCs w:val="18"/>
        </w:rPr>
        <w:t>A alteração social ou a modificação da finalidade ou da estrutura da empresa, que prejudique a execução do contrato.</w:t>
      </w:r>
    </w:p>
    <w:p>
      <w:pPr>
        <w:pStyle w:val="NormalWeb"/>
        <w:numPr>
          <w:ilvl w:val="0"/>
          <w:numId w:val="4"/>
        </w:numPr>
        <w:spacing w:beforeAutospacing="0" w:before="0" w:afterAutospacing="0" w:after="0"/>
        <w:jc w:val="both"/>
        <w:rPr>
          <w:rFonts w:ascii="Verdana" w:hAnsi="Verdana"/>
          <w:color w:val="000000"/>
          <w:sz w:val="18"/>
          <w:szCs w:val="18"/>
        </w:rPr>
      </w:pPr>
      <w:r>
        <w:rPr>
          <w:rFonts w:ascii="Verdana" w:hAnsi="Verdana"/>
          <w:color w:val="000000"/>
          <w:sz w:val="18"/>
          <w:szCs w:val="18"/>
        </w:rPr>
        <w:t>Razões de interesse público, de alta relevância e amplo conhecimento, justificadas e determinadas pela máxima autoridade da esfera administrativa a que está subordinado o contratante e exaradas no processo administrativo a que se refere o contrato.</w:t>
      </w:r>
    </w:p>
    <w:p>
      <w:pPr>
        <w:pStyle w:val="NormalWeb"/>
        <w:numPr>
          <w:ilvl w:val="0"/>
          <w:numId w:val="4"/>
        </w:numPr>
        <w:spacing w:beforeAutospacing="0" w:before="0" w:afterAutospacing="0" w:after="0"/>
        <w:jc w:val="both"/>
        <w:rPr>
          <w:rFonts w:ascii="Verdana" w:hAnsi="Verdana"/>
          <w:color w:val="000000"/>
          <w:sz w:val="18"/>
          <w:szCs w:val="18"/>
        </w:rPr>
      </w:pPr>
      <w:r>
        <w:rPr>
          <w:rFonts w:ascii="Verdana" w:hAnsi="Verdana"/>
          <w:color w:val="000000"/>
          <w:sz w:val="18"/>
          <w:szCs w:val="18"/>
        </w:rPr>
        <w:t>A supressão, por parte da Administração, de obras, serviços ou compras, acarretando modificação do valor inicial do contrato além do limite de 25%, permitido no art. 125 da Lei n.º 14.333/2021.</w:t>
      </w:r>
    </w:p>
    <w:p>
      <w:pPr>
        <w:pStyle w:val="NormalWeb"/>
        <w:numPr>
          <w:ilvl w:val="0"/>
          <w:numId w:val="4"/>
        </w:numPr>
        <w:spacing w:beforeAutospacing="0" w:before="0" w:afterAutospacing="0" w:after="0"/>
        <w:jc w:val="both"/>
        <w:rPr>
          <w:rFonts w:ascii="Verdana" w:hAnsi="Verdana"/>
          <w:color w:val="000000"/>
          <w:sz w:val="18"/>
          <w:szCs w:val="18"/>
        </w:rPr>
      </w:pPr>
      <w:r>
        <w:rPr>
          <w:rFonts w:ascii="Verdana" w:hAnsi="Verdana"/>
          <w:color w:val="000000"/>
          <w:sz w:val="18"/>
          <w:szCs w:val="18"/>
        </w:rPr>
        <w:t>A suspensão de sua execução, por ordem escrita da Administração, por prazo superior a 120 (cento e vinte) dias, salvo em caso de calamidade pública, grave perturbação da ordem interna ou guerra, ou ainda por repetidas suspensões que totalizem o mesmo prazo, independentemente do pagamento obrigatório de indenizações pelas sucessivas e contratualmente imprevistas desmobilizações e mobilizações e outras previstas, assegurado ao contratado, nesses casos, o direito de optar pela suspensão do cumprimento das obrigações assumidas até que seja normalizada a situação.</w:t>
      </w:r>
    </w:p>
    <w:p>
      <w:pPr>
        <w:pStyle w:val="NormalWeb"/>
        <w:numPr>
          <w:ilvl w:val="0"/>
          <w:numId w:val="4"/>
        </w:numPr>
        <w:spacing w:beforeAutospacing="0" w:before="0" w:afterAutospacing="0" w:after="0"/>
        <w:jc w:val="both"/>
        <w:rPr>
          <w:rFonts w:ascii="Verdana" w:hAnsi="Verdana"/>
          <w:color w:val="000000"/>
          <w:sz w:val="18"/>
          <w:szCs w:val="18"/>
        </w:rPr>
      </w:pPr>
      <w:r>
        <w:rPr>
          <w:rFonts w:ascii="Verdana" w:hAnsi="Verdana"/>
          <w:color w:val="000000"/>
          <w:sz w:val="18"/>
          <w:szCs w:val="18"/>
        </w:rPr>
        <w:t>O atraso superior a 90 (noventa) dias dos pagamentos devidos pela Administração decorrentes de serviços ou fornecimento, ou parcelas destes, já recebidos ou executados, salvo em caso de calamidade pública, grave perturbação da ordem interna ou guerra, assegurado ao contratado o direito de optar pela suspensão do cumprimento de suas obrigações até que seja normalizada a situação.</w:t>
      </w:r>
    </w:p>
    <w:p>
      <w:pPr>
        <w:pStyle w:val="NormalWeb"/>
        <w:numPr>
          <w:ilvl w:val="0"/>
          <w:numId w:val="4"/>
        </w:numPr>
        <w:spacing w:beforeAutospacing="0" w:before="0" w:afterAutospacing="0" w:after="0"/>
        <w:jc w:val="both"/>
        <w:rPr>
          <w:rFonts w:ascii="Verdana" w:hAnsi="Verdana"/>
          <w:color w:val="000000"/>
          <w:sz w:val="18"/>
          <w:szCs w:val="18"/>
        </w:rPr>
      </w:pPr>
      <w:r>
        <w:rPr>
          <w:rFonts w:ascii="Verdana" w:hAnsi="Verdana"/>
          <w:color w:val="000000"/>
          <w:sz w:val="18"/>
          <w:szCs w:val="18"/>
        </w:rPr>
        <w:t>A não liberação, por parte da Administração, de área, local ou objeto para execução de serviço ou fornecimento, nos prazos contratuais, bem como das fontes de materiais naturais especificadas no projeto.</w:t>
      </w:r>
    </w:p>
    <w:p>
      <w:pPr>
        <w:pStyle w:val="NormalWeb"/>
        <w:numPr>
          <w:ilvl w:val="0"/>
          <w:numId w:val="4"/>
        </w:numPr>
        <w:spacing w:beforeAutospacing="0" w:before="0" w:afterAutospacing="0" w:after="0"/>
        <w:jc w:val="both"/>
        <w:rPr>
          <w:rFonts w:ascii="Verdana" w:hAnsi="Verdana"/>
          <w:color w:val="000000"/>
          <w:sz w:val="18"/>
          <w:szCs w:val="18"/>
        </w:rPr>
      </w:pPr>
      <w:r>
        <w:rPr>
          <w:rFonts w:ascii="Verdana" w:hAnsi="Verdana"/>
          <w:color w:val="000000"/>
          <w:sz w:val="18"/>
          <w:szCs w:val="18"/>
        </w:rPr>
        <w:t>A ocorrência de caso fortuito ou de força maior, regularmente comprovada, impeditiva da execução do contrato.</w:t>
      </w:r>
    </w:p>
    <w:p>
      <w:pPr>
        <w:pStyle w:val="NormalWeb"/>
        <w:numPr>
          <w:ilvl w:val="0"/>
          <w:numId w:val="4"/>
        </w:numPr>
        <w:spacing w:beforeAutospacing="0" w:before="0" w:afterAutospacing="0" w:after="0"/>
        <w:jc w:val="both"/>
        <w:rPr>
          <w:rFonts w:ascii="Verdana" w:hAnsi="Verdana"/>
          <w:color w:val="000000"/>
          <w:sz w:val="18"/>
          <w:szCs w:val="18"/>
        </w:rPr>
      </w:pPr>
      <w:r>
        <w:rPr>
          <w:rFonts w:ascii="Verdana" w:hAnsi="Verdana"/>
          <w:color w:val="000000"/>
          <w:sz w:val="18"/>
          <w:szCs w:val="18"/>
        </w:rPr>
        <w:t>Descumprimento do disposto no inciso V do art. 68 da Lei n.º 14.133/2021 (cumprimento da proibição de trabalho noturno, perigoso ou insalubre a menores de dezoito e de qualquer trabalho a menores de dezesseis anos, salvo na condição de aprendiz, a partir de quatorze anos), sem prejuízo das sanções penais cabíveis.</w:t>
      </w:r>
    </w:p>
    <w:p>
      <w:pPr>
        <w:pStyle w:val="NormalWeb"/>
        <w:spacing w:before="280" w:after="280"/>
        <w:jc w:val="both"/>
        <w:rPr>
          <w:rFonts w:ascii="Verdana" w:hAnsi="Verdana"/>
          <w:color w:val="000000"/>
          <w:sz w:val="18"/>
          <w:szCs w:val="18"/>
        </w:rPr>
      </w:pPr>
      <w:r>
        <w:rPr>
          <w:rFonts w:ascii="Verdana" w:hAnsi="Verdana"/>
          <w:b/>
          <w:bCs/>
          <w:color w:val="000000"/>
          <w:sz w:val="18"/>
          <w:szCs w:val="18"/>
        </w:rPr>
        <w:t>13.6 -</w:t>
      </w:r>
      <w:r>
        <w:rPr>
          <w:rFonts w:ascii="Verdana" w:hAnsi="Verdana"/>
          <w:color w:val="000000"/>
          <w:sz w:val="18"/>
          <w:szCs w:val="18"/>
        </w:rPr>
        <w:t xml:space="preserve"> Os casos de rescisão contratual serão formalmente motivados nos autos do processo, assegurado o contraditório e a ampla defesa.</w:t>
      </w:r>
    </w:p>
    <w:p>
      <w:pPr>
        <w:pStyle w:val="NormalWeb"/>
        <w:spacing w:before="280" w:after="280"/>
        <w:jc w:val="both"/>
        <w:rPr>
          <w:rFonts w:ascii="Verdana" w:hAnsi="Verdana"/>
          <w:color w:val="000000"/>
          <w:sz w:val="18"/>
          <w:szCs w:val="18"/>
        </w:rPr>
      </w:pPr>
      <w:r>
        <w:rPr>
          <w:rFonts w:ascii="Verdana" w:hAnsi="Verdana"/>
          <w:b/>
          <w:bCs/>
          <w:color w:val="000000"/>
          <w:sz w:val="18"/>
          <w:szCs w:val="18"/>
        </w:rPr>
        <w:t>13.7 -</w:t>
      </w:r>
      <w:r>
        <w:rPr>
          <w:rFonts w:ascii="Verdana" w:hAnsi="Verdana"/>
          <w:color w:val="000000"/>
          <w:sz w:val="18"/>
          <w:szCs w:val="18"/>
        </w:rPr>
        <w:t xml:space="preserve"> A rescisão do contrato poderá ser:</w:t>
      </w:r>
    </w:p>
    <w:p>
      <w:pPr>
        <w:pStyle w:val="NormalWeb"/>
        <w:spacing w:before="280" w:after="280"/>
        <w:ind w:left="426" w:hanging="0"/>
        <w:jc w:val="both"/>
        <w:rPr>
          <w:rFonts w:ascii="Verdana" w:hAnsi="Verdana"/>
          <w:color w:val="000000"/>
          <w:sz w:val="18"/>
          <w:szCs w:val="18"/>
        </w:rPr>
      </w:pPr>
      <w:r>
        <w:rPr>
          <w:rFonts w:ascii="Verdana" w:hAnsi="Verdana"/>
          <w:color w:val="000000"/>
          <w:sz w:val="18"/>
          <w:szCs w:val="18"/>
        </w:rPr>
        <w:t>a) Determinada por ato unilateral e escrito da Administração, nos casos enumerados nos subitens “a” à “l” e “q” acima descritos.</w:t>
      </w:r>
    </w:p>
    <w:p>
      <w:pPr>
        <w:pStyle w:val="NormalWeb"/>
        <w:spacing w:before="280" w:after="280"/>
        <w:ind w:left="426" w:hanging="0"/>
        <w:jc w:val="both"/>
        <w:rPr>
          <w:rFonts w:ascii="Verdana" w:hAnsi="Verdana"/>
          <w:color w:val="000000"/>
          <w:sz w:val="18"/>
          <w:szCs w:val="18"/>
        </w:rPr>
      </w:pPr>
      <w:r>
        <w:rPr>
          <w:rFonts w:ascii="Verdana" w:hAnsi="Verdana"/>
          <w:color w:val="000000"/>
          <w:sz w:val="18"/>
          <w:szCs w:val="18"/>
        </w:rPr>
        <w:t>b) Amigável, por acordo entre as partes, reduzida a termo no processo da licitação, desde que haja conveniência para a Administração.</w:t>
      </w:r>
    </w:p>
    <w:p>
      <w:pPr>
        <w:pStyle w:val="NormalWeb"/>
        <w:spacing w:before="280" w:after="280"/>
        <w:ind w:left="426" w:hanging="0"/>
        <w:jc w:val="both"/>
        <w:rPr>
          <w:rFonts w:ascii="Verdana" w:hAnsi="Verdana"/>
          <w:color w:val="000000"/>
          <w:sz w:val="18"/>
          <w:szCs w:val="18"/>
        </w:rPr>
      </w:pPr>
      <w:r>
        <w:rPr>
          <w:rFonts w:ascii="Verdana" w:hAnsi="Verdana"/>
          <w:color w:val="000000"/>
          <w:sz w:val="18"/>
          <w:szCs w:val="18"/>
        </w:rPr>
        <w:t>c) Judicial, nos termos da legislação.</w:t>
      </w:r>
    </w:p>
    <w:p>
      <w:pPr>
        <w:pStyle w:val="NormalWeb"/>
        <w:spacing w:before="280" w:after="280"/>
        <w:jc w:val="both"/>
        <w:rPr>
          <w:rFonts w:ascii="Verdana" w:hAnsi="Verdana"/>
          <w:color w:val="000000"/>
          <w:sz w:val="18"/>
          <w:szCs w:val="18"/>
        </w:rPr>
      </w:pPr>
      <w:r>
        <w:rPr>
          <w:rFonts w:ascii="Verdana" w:hAnsi="Verdana"/>
          <w:b/>
          <w:bCs/>
          <w:color w:val="000000"/>
          <w:sz w:val="18"/>
          <w:szCs w:val="18"/>
        </w:rPr>
        <w:t>13.8 -</w:t>
      </w:r>
      <w:r>
        <w:rPr>
          <w:rFonts w:ascii="Verdana" w:hAnsi="Verdana"/>
          <w:color w:val="000000"/>
          <w:sz w:val="18"/>
          <w:szCs w:val="18"/>
        </w:rPr>
        <w:t xml:space="preserve"> A rescisão administrativa ou amigável deverá ser precedida de autorização escrita e fundamentada da autoridade competente.</w:t>
      </w:r>
    </w:p>
    <w:p>
      <w:pPr>
        <w:pStyle w:val="NormalWeb"/>
        <w:spacing w:before="280" w:after="280"/>
        <w:jc w:val="both"/>
        <w:rPr>
          <w:rFonts w:ascii="Verdana" w:hAnsi="Verdana"/>
          <w:color w:val="000000"/>
          <w:sz w:val="18"/>
          <w:szCs w:val="18"/>
        </w:rPr>
      </w:pPr>
      <w:r>
        <w:rPr>
          <w:rFonts w:ascii="Verdana" w:hAnsi="Verdana"/>
          <w:b/>
          <w:bCs/>
          <w:color w:val="000000"/>
          <w:sz w:val="18"/>
          <w:szCs w:val="18"/>
        </w:rPr>
        <w:t>13.9 -</w:t>
      </w:r>
      <w:r>
        <w:rPr>
          <w:rFonts w:ascii="Verdana" w:hAnsi="Verdana"/>
          <w:color w:val="000000"/>
          <w:sz w:val="18"/>
          <w:szCs w:val="18"/>
        </w:rPr>
        <w:t xml:space="preserve"> Quando a rescisão ocorrer com base nos subitens “l” à “q” descritos acima, sem que haja culpa da contratada, será esta ressarcida dos prejuízos regularmente comprovados que houver sofrido, tendo ainda direito a:</w:t>
      </w:r>
    </w:p>
    <w:p>
      <w:pPr>
        <w:pStyle w:val="NormalWeb"/>
        <w:spacing w:beforeAutospacing="0" w:before="0" w:afterAutospacing="0" w:after="0"/>
        <w:ind w:left="426" w:hanging="0"/>
        <w:jc w:val="both"/>
        <w:rPr>
          <w:rFonts w:ascii="Verdana" w:hAnsi="Verdana"/>
          <w:color w:val="000000"/>
          <w:sz w:val="18"/>
          <w:szCs w:val="18"/>
        </w:rPr>
      </w:pPr>
      <w:r>
        <w:rPr>
          <w:rFonts w:ascii="Verdana" w:hAnsi="Verdana"/>
          <w:color w:val="000000"/>
          <w:sz w:val="18"/>
          <w:szCs w:val="18"/>
        </w:rPr>
        <w:t>a) Pagamentos devidos pela execução do contrato até a data da rescisão.</w:t>
      </w:r>
    </w:p>
    <w:p>
      <w:pPr>
        <w:pStyle w:val="NormalWeb"/>
        <w:spacing w:beforeAutospacing="0" w:before="0" w:afterAutospacing="0" w:after="0"/>
        <w:ind w:left="426" w:hanging="0"/>
        <w:jc w:val="both"/>
        <w:rPr>
          <w:rFonts w:ascii="Verdana" w:hAnsi="Verdana"/>
          <w:color w:val="000000"/>
          <w:sz w:val="18"/>
          <w:szCs w:val="18"/>
        </w:rPr>
      </w:pPr>
      <w:r>
        <w:rPr>
          <w:rFonts w:ascii="Verdana" w:hAnsi="Verdana"/>
          <w:color w:val="000000"/>
          <w:sz w:val="18"/>
          <w:szCs w:val="18"/>
        </w:rPr>
        <w:t>b) Pagamento do custo da desmobilização.</w:t>
      </w:r>
    </w:p>
    <w:p>
      <w:pPr>
        <w:pStyle w:val="Normal"/>
        <w:widowControl w:val="false"/>
        <w:jc w:val="both"/>
        <w:rPr>
          <w:rFonts w:ascii="Verdana" w:hAnsi="Verdana" w:eastAsia="Verdana" w:cs="Verdana"/>
          <w:sz w:val="18"/>
          <w:szCs w:val="18"/>
        </w:rPr>
      </w:pPr>
      <w:r>
        <w:rPr>
          <w:rFonts w:eastAsia="Verdana" w:cs="Verdana" w:ascii="Verdana" w:hAnsi="Verdana"/>
          <w:sz w:val="18"/>
          <w:szCs w:val="18"/>
        </w:rPr>
      </w:r>
    </w:p>
    <w:p>
      <w:pPr>
        <w:pStyle w:val="Normal"/>
        <w:jc w:val="both"/>
        <w:rPr>
          <w:rFonts w:ascii="Verdana" w:hAnsi="Verdana" w:eastAsia="Verdana" w:cs="Verdana"/>
          <w:sz w:val="18"/>
          <w:szCs w:val="18"/>
        </w:rPr>
      </w:pPr>
      <w:r>
        <w:rPr>
          <w:rFonts w:eastAsia="Verdana" w:cs="Verdana" w:ascii="Verdana" w:hAnsi="Verdana"/>
          <w:sz w:val="18"/>
          <w:szCs w:val="18"/>
        </w:rPr>
      </w:r>
    </w:p>
    <w:p>
      <w:pPr>
        <w:pStyle w:val="Normal"/>
        <w:widowControl w:val="false"/>
        <w:shd w:val="clear" w:color="auto" w:fill="BFBFBF"/>
        <w:tabs>
          <w:tab w:val="clear" w:pos="720"/>
          <w:tab w:val="left" w:pos="425" w:leader="none"/>
        </w:tabs>
        <w:jc w:val="center"/>
        <w:rPr>
          <w:rFonts w:ascii="Verdana" w:hAnsi="Verdana" w:eastAsia="Verdana" w:cs="Verdana"/>
          <w:b/>
          <w:b/>
          <w:sz w:val="18"/>
          <w:szCs w:val="18"/>
        </w:rPr>
      </w:pPr>
      <w:r>
        <w:rPr>
          <w:rFonts w:eastAsia="Verdana" w:cs="Verdana" w:ascii="Verdana" w:hAnsi="Verdana"/>
          <w:b/>
          <w:sz w:val="18"/>
          <w:szCs w:val="18"/>
        </w:rPr>
        <w:t>CLÁUSULA DÉCIMA QUARTA - DAS ALTERAÇÕES</w:t>
      </w:r>
    </w:p>
    <w:p>
      <w:pPr>
        <w:pStyle w:val="Normal"/>
        <w:widowControl w:val="false"/>
        <w:jc w:val="both"/>
        <w:rPr>
          <w:rFonts w:ascii="Verdana" w:hAnsi="Verdana" w:eastAsia="Verdana" w:cs="Verdana"/>
          <w:b/>
          <w:b/>
          <w:sz w:val="18"/>
          <w:szCs w:val="18"/>
        </w:rPr>
      </w:pPr>
      <w:r>
        <w:rPr>
          <w:rFonts w:eastAsia="Verdana" w:cs="Verdana" w:ascii="Verdana" w:hAnsi="Verdana"/>
          <w:b/>
          <w:sz w:val="18"/>
          <w:szCs w:val="18"/>
        </w:rPr>
      </w:r>
    </w:p>
    <w:p>
      <w:pPr>
        <w:pStyle w:val="Normal"/>
        <w:jc w:val="both"/>
        <w:rPr>
          <w:rFonts w:ascii="Calibri" w:hAnsi="Calibri" w:eastAsia="Calibri" w:cs="Calibri"/>
        </w:rPr>
      </w:pPr>
      <w:r>
        <w:rPr>
          <w:rFonts w:eastAsia="Verdana" w:cs="Verdana" w:ascii="Verdana" w:hAnsi="Verdana"/>
          <w:b/>
          <w:sz w:val="18"/>
          <w:szCs w:val="18"/>
        </w:rPr>
        <w:t>14.1 -</w:t>
      </w:r>
      <w:r>
        <w:rPr>
          <w:rFonts w:eastAsia="Verdana" w:cs="Verdana" w:ascii="Verdana" w:hAnsi="Verdana"/>
          <w:sz w:val="18"/>
          <w:szCs w:val="18"/>
        </w:rPr>
        <w:t xml:space="preserve"> Eventuais alterações contratuais reger-se-ão pela disciplina dos arts. 124 e seguintes da Lei nº 14.133, de 2021.</w:t>
      </w:r>
    </w:p>
    <w:p>
      <w:pPr>
        <w:pStyle w:val="Normal"/>
        <w:jc w:val="both"/>
        <w:rPr>
          <w:rFonts w:ascii="Verdana" w:hAnsi="Verdana" w:eastAsia="Verdana" w:cs="Verdana"/>
          <w:sz w:val="18"/>
          <w:szCs w:val="18"/>
        </w:rPr>
      </w:pPr>
      <w:r>
        <w:rPr>
          <w:rFonts w:eastAsia="Verdana" w:cs="Verdana" w:ascii="Verdana" w:hAnsi="Verdana"/>
          <w:sz w:val="18"/>
          <w:szCs w:val="18"/>
        </w:rPr>
      </w:r>
    </w:p>
    <w:p>
      <w:pPr>
        <w:pStyle w:val="Normal"/>
        <w:jc w:val="both"/>
        <w:rPr>
          <w:rFonts w:ascii="Calibri" w:hAnsi="Calibri" w:eastAsia="Calibri" w:cs="Calibri"/>
        </w:rPr>
      </w:pPr>
      <w:r>
        <w:rPr>
          <w:rFonts w:eastAsia="Verdana" w:cs="Verdana" w:ascii="Verdana" w:hAnsi="Verdana"/>
          <w:b/>
          <w:sz w:val="18"/>
          <w:szCs w:val="18"/>
        </w:rPr>
        <w:t>14.2 -</w:t>
      </w:r>
      <w:r>
        <w:rPr>
          <w:rFonts w:eastAsia="Verdana" w:cs="Verdana" w:ascii="Verdana" w:hAnsi="Verdana"/>
          <w:sz w:val="18"/>
          <w:szCs w:val="18"/>
        </w:rPr>
        <w:t xml:space="preserve"> O contratado é obrigado a aceitar, nas mesmas condições contratuais, os acréscimos ou supressões que se fizerem necessários, até o limite de 25% (vinte e cinco por cento) do valor inicial atualizado do contrato.</w:t>
      </w:r>
    </w:p>
    <w:p>
      <w:pPr>
        <w:pStyle w:val="Normal"/>
        <w:jc w:val="both"/>
        <w:rPr>
          <w:rFonts w:ascii="Verdana" w:hAnsi="Verdana" w:eastAsia="Verdana" w:cs="Verdana"/>
          <w:sz w:val="18"/>
          <w:szCs w:val="18"/>
        </w:rPr>
      </w:pPr>
      <w:r>
        <w:rPr>
          <w:rFonts w:eastAsia="Verdana" w:cs="Verdana" w:ascii="Verdana" w:hAnsi="Verdana"/>
          <w:sz w:val="18"/>
          <w:szCs w:val="18"/>
        </w:rPr>
      </w:r>
    </w:p>
    <w:p>
      <w:pPr>
        <w:pStyle w:val="Normal"/>
        <w:jc w:val="both"/>
        <w:rPr>
          <w:rFonts w:ascii="Calibri" w:hAnsi="Calibri" w:eastAsia="Calibri" w:cs="Calibri"/>
        </w:rPr>
      </w:pPr>
      <w:r>
        <w:rPr>
          <w:rFonts w:eastAsia="Verdana" w:cs="Verdana" w:ascii="Verdana" w:hAnsi="Verdana"/>
          <w:b/>
          <w:sz w:val="18"/>
          <w:szCs w:val="18"/>
        </w:rPr>
        <w:t>14.3 -</w:t>
      </w:r>
      <w:r>
        <w:rPr>
          <w:rFonts w:eastAsia="Verdana" w:cs="Verdana" w:ascii="Verdana" w:hAnsi="Verdana"/>
          <w:sz w:val="18"/>
          <w:szCs w:val="18"/>
        </w:rPr>
        <w:t xml:space="preserve"> Registros que não caracterizam alteração do contrato podem ser realizados por simples apostila, dispensada a celebração de termo aditivo, na forma do art. 136 da Lei nº 14.133, de 2021.</w:t>
      </w:r>
    </w:p>
    <w:p>
      <w:pPr>
        <w:pStyle w:val="Normal"/>
        <w:widowControl w:val="false"/>
        <w:jc w:val="both"/>
        <w:rPr>
          <w:rFonts w:ascii="Verdana" w:hAnsi="Verdana" w:eastAsia="Verdana" w:cs="Verdana"/>
          <w:sz w:val="18"/>
          <w:szCs w:val="18"/>
        </w:rPr>
      </w:pPr>
      <w:r>
        <w:rPr>
          <w:rFonts w:eastAsia="Verdana" w:cs="Verdana" w:ascii="Verdana" w:hAnsi="Verdana"/>
          <w:sz w:val="18"/>
          <w:szCs w:val="18"/>
        </w:rPr>
      </w:r>
    </w:p>
    <w:p>
      <w:pPr>
        <w:pStyle w:val="Normal"/>
        <w:widowControl w:val="false"/>
        <w:shd w:val="clear" w:color="auto" w:fill="BFBFBF"/>
        <w:tabs>
          <w:tab w:val="clear" w:pos="720"/>
          <w:tab w:val="left" w:pos="425" w:leader="none"/>
        </w:tabs>
        <w:jc w:val="center"/>
        <w:rPr>
          <w:rFonts w:ascii="Verdana" w:hAnsi="Verdana" w:eastAsia="Verdana" w:cs="Verdana"/>
          <w:b/>
          <w:b/>
          <w:sz w:val="18"/>
          <w:szCs w:val="18"/>
        </w:rPr>
      </w:pPr>
      <w:r>
        <w:rPr>
          <w:rFonts w:eastAsia="Verdana" w:cs="Verdana" w:ascii="Verdana" w:hAnsi="Verdana"/>
          <w:b/>
          <w:sz w:val="18"/>
          <w:szCs w:val="18"/>
        </w:rPr>
        <w:t>CLÁUSULA DÉCIMA QUINTA - DOS CASOS OMISSOS</w:t>
      </w:r>
    </w:p>
    <w:p>
      <w:pPr>
        <w:pStyle w:val="Normal"/>
        <w:widowControl w:val="false"/>
        <w:jc w:val="both"/>
        <w:rPr>
          <w:rFonts w:ascii="Verdana" w:hAnsi="Verdana" w:eastAsia="Verdana" w:cs="Verdana"/>
          <w:b/>
          <w:b/>
          <w:sz w:val="18"/>
          <w:szCs w:val="18"/>
        </w:rPr>
      </w:pPr>
      <w:r>
        <w:rPr>
          <w:rFonts w:eastAsia="Verdana" w:cs="Verdana" w:ascii="Verdana" w:hAnsi="Verdana"/>
          <w:b/>
          <w:sz w:val="18"/>
          <w:szCs w:val="18"/>
        </w:rPr>
      </w:r>
    </w:p>
    <w:p>
      <w:pPr>
        <w:pStyle w:val="Normal"/>
        <w:widowControl w:val="false"/>
        <w:jc w:val="both"/>
        <w:rPr>
          <w:rFonts w:ascii="Calibri" w:hAnsi="Calibri" w:eastAsia="Calibri" w:cs="Calibri"/>
        </w:rPr>
      </w:pPr>
      <w:r>
        <w:rPr>
          <w:rFonts w:eastAsia="Verdana" w:cs="Verdana" w:ascii="Verdana" w:hAnsi="Verdana"/>
          <w:b/>
          <w:sz w:val="18"/>
          <w:szCs w:val="18"/>
        </w:rPr>
        <w:t>15.1 -</w:t>
      </w:r>
      <w:r>
        <w:rPr>
          <w:rFonts w:eastAsia="Verdana" w:cs="Verdana" w:ascii="Verdana" w:hAnsi="Verdana"/>
          <w:sz w:val="18"/>
          <w:szCs w:val="18"/>
        </w:rPr>
        <w:t xml:space="preserve"> Os casos omissos serão decididos pelo contratante, segundo as disposições contidas na Lei nº 14.133, de 2021, e demais normas aplicáveis e, subsidiariamente, segundo as disposições contidas na Lei nº 8.078, de 1990 – Código de Defesa do Consumidor – e normas e princípios gerais dos contratos.</w:t>
      </w:r>
    </w:p>
    <w:p>
      <w:pPr>
        <w:pStyle w:val="Normal"/>
        <w:widowControl w:val="false"/>
        <w:jc w:val="both"/>
        <w:rPr>
          <w:rFonts w:ascii="Verdana" w:hAnsi="Verdana" w:eastAsia="Verdana" w:cs="Verdana"/>
          <w:sz w:val="18"/>
          <w:szCs w:val="18"/>
        </w:rPr>
      </w:pPr>
      <w:r>
        <w:rPr>
          <w:rFonts w:eastAsia="Verdana" w:cs="Verdana" w:ascii="Verdana" w:hAnsi="Verdana"/>
          <w:sz w:val="18"/>
          <w:szCs w:val="18"/>
        </w:rPr>
      </w:r>
    </w:p>
    <w:p>
      <w:pPr>
        <w:pStyle w:val="Normal"/>
        <w:jc w:val="both"/>
        <w:rPr>
          <w:rFonts w:ascii="Verdana" w:hAnsi="Verdana" w:eastAsia="Verdana" w:cs="Verdana"/>
          <w:sz w:val="18"/>
          <w:szCs w:val="18"/>
        </w:rPr>
      </w:pPr>
      <w:r>
        <w:rPr>
          <w:rFonts w:eastAsia="Verdana" w:cs="Verdana" w:ascii="Verdana" w:hAnsi="Verdana"/>
          <w:sz w:val="18"/>
          <w:szCs w:val="18"/>
        </w:rPr>
      </w:r>
    </w:p>
    <w:p>
      <w:pPr>
        <w:pStyle w:val="Normal"/>
        <w:widowControl w:val="false"/>
        <w:shd w:val="clear" w:color="auto" w:fill="BFBFBF"/>
        <w:tabs>
          <w:tab w:val="clear" w:pos="720"/>
          <w:tab w:val="left" w:pos="425" w:leader="none"/>
        </w:tabs>
        <w:jc w:val="center"/>
        <w:rPr>
          <w:rFonts w:ascii="Verdana" w:hAnsi="Verdana" w:eastAsia="Verdana" w:cs="Verdana"/>
          <w:b/>
          <w:b/>
          <w:sz w:val="18"/>
          <w:szCs w:val="18"/>
        </w:rPr>
      </w:pPr>
      <w:r>
        <w:rPr>
          <w:rFonts w:eastAsia="Verdana" w:cs="Verdana" w:ascii="Verdana" w:hAnsi="Verdana"/>
          <w:b/>
          <w:sz w:val="18"/>
          <w:szCs w:val="18"/>
        </w:rPr>
        <w:t>CLÁUSULA DÉCIMA SEXTA - DA PUBLICAÇÃO</w:t>
      </w:r>
    </w:p>
    <w:p>
      <w:pPr>
        <w:pStyle w:val="Normal"/>
        <w:widowControl w:val="false"/>
        <w:jc w:val="both"/>
        <w:rPr>
          <w:rFonts w:ascii="Verdana" w:hAnsi="Verdana" w:eastAsia="Verdana" w:cs="Verdana"/>
          <w:b/>
          <w:b/>
          <w:sz w:val="18"/>
          <w:szCs w:val="18"/>
        </w:rPr>
      </w:pPr>
      <w:r>
        <w:rPr>
          <w:rFonts w:eastAsia="Verdana" w:cs="Verdana" w:ascii="Verdana" w:hAnsi="Verdana"/>
          <w:b/>
          <w:sz w:val="18"/>
          <w:szCs w:val="18"/>
        </w:rPr>
      </w:r>
    </w:p>
    <w:p>
      <w:pPr>
        <w:pStyle w:val="Normal"/>
        <w:tabs>
          <w:tab w:val="clear" w:pos="720"/>
          <w:tab w:val="left" w:pos="426" w:leader="none"/>
        </w:tabs>
        <w:jc w:val="both"/>
        <w:rPr>
          <w:rFonts w:ascii="Calibri" w:hAnsi="Calibri" w:eastAsia="Calibri" w:cs="Calibri"/>
        </w:rPr>
      </w:pPr>
      <w:r>
        <w:rPr>
          <w:rFonts w:eastAsia="Verdana" w:cs="Verdana" w:ascii="Verdana" w:hAnsi="Verdana"/>
          <w:b/>
          <w:sz w:val="18"/>
          <w:szCs w:val="18"/>
        </w:rPr>
        <w:t>16.1 -</w:t>
        <w:tab/>
      </w:r>
      <w:r>
        <w:rPr>
          <w:rFonts w:eastAsia="Verdana" w:cs="Verdana" w:ascii="Verdana" w:hAnsi="Verdana"/>
          <w:sz w:val="18"/>
          <w:szCs w:val="18"/>
        </w:rPr>
        <w:t>Incumbirá ao contratante divulgar o presente instrumento no Diário da Justiça Eletrônico, órgão oficial de divulgação dos atos processuais e administrativos do Poder Judiciário do Estado do Espírito Santo, veiculado no site do PJES, e no Portal Nacional de Contratações Públicas (PNCP), na forma prevista no art. 94 da Lei 14.133, de 2021.</w:t>
      </w:r>
    </w:p>
    <w:p>
      <w:pPr>
        <w:pStyle w:val="Normal"/>
        <w:tabs>
          <w:tab w:val="clear" w:pos="720"/>
          <w:tab w:val="left" w:pos="426" w:leader="none"/>
        </w:tabs>
        <w:jc w:val="both"/>
        <w:rPr>
          <w:rFonts w:ascii="Verdana" w:hAnsi="Verdana" w:eastAsia="Verdana" w:cs="Verdana"/>
          <w:sz w:val="18"/>
          <w:szCs w:val="18"/>
        </w:rPr>
      </w:pPr>
      <w:r>
        <w:rPr>
          <w:rFonts w:eastAsia="Verdana" w:cs="Verdana" w:ascii="Verdana" w:hAnsi="Verdana"/>
          <w:sz w:val="18"/>
          <w:szCs w:val="18"/>
        </w:rPr>
      </w:r>
    </w:p>
    <w:p>
      <w:pPr>
        <w:pStyle w:val="Normal"/>
        <w:tabs>
          <w:tab w:val="clear" w:pos="720"/>
          <w:tab w:val="left" w:pos="426" w:leader="none"/>
        </w:tabs>
        <w:jc w:val="both"/>
        <w:rPr>
          <w:rFonts w:ascii="Verdana" w:hAnsi="Verdana" w:eastAsia="Verdana" w:cs="Verdana"/>
          <w:b/>
          <w:b/>
          <w:sz w:val="18"/>
          <w:szCs w:val="18"/>
        </w:rPr>
      </w:pPr>
      <w:r>
        <w:rPr>
          <w:rFonts w:eastAsia="Verdana" w:cs="Verdana" w:ascii="Verdana" w:hAnsi="Verdana"/>
          <w:b/>
          <w:sz w:val="18"/>
          <w:szCs w:val="18"/>
        </w:rPr>
      </w:r>
    </w:p>
    <w:p>
      <w:pPr>
        <w:pStyle w:val="Normal"/>
        <w:shd w:val="clear" w:color="auto" w:fill="BFBFBF"/>
        <w:tabs>
          <w:tab w:val="clear" w:pos="720"/>
          <w:tab w:val="left" w:pos="425" w:leader="none"/>
        </w:tabs>
        <w:jc w:val="center"/>
        <w:rPr>
          <w:rFonts w:ascii="Calibri" w:hAnsi="Calibri" w:eastAsia="Calibri" w:cs="Calibri"/>
        </w:rPr>
      </w:pPr>
      <w:r>
        <w:rPr>
          <w:rFonts w:eastAsia="Verdana" w:cs="Verdana" w:ascii="Verdana" w:hAnsi="Verdana"/>
          <w:b/>
          <w:sz w:val="18"/>
          <w:szCs w:val="18"/>
        </w:rPr>
        <w:t>CLÁUSULA DÉCIMA SÉTIMA - DO FORO</w:t>
      </w:r>
    </w:p>
    <w:p>
      <w:pPr>
        <w:pStyle w:val="Normal"/>
        <w:widowControl w:val="false"/>
        <w:jc w:val="both"/>
        <w:rPr>
          <w:rFonts w:ascii="Verdana" w:hAnsi="Verdana" w:eastAsia="Verdana" w:cs="Verdana"/>
          <w:b/>
          <w:b/>
          <w:sz w:val="18"/>
          <w:szCs w:val="18"/>
        </w:rPr>
      </w:pPr>
      <w:r>
        <w:rPr>
          <w:rFonts w:eastAsia="Verdana" w:cs="Verdana" w:ascii="Verdana" w:hAnsi="Verdana"/>
          <w:b/>
          <w:sz w:val="18"/>
          <w:szCs w:val="18"/>
        </w:rPr>
      </w:r>
    </w:p>
    <w:p>
      <w:pPr>
        <w:pStyle w:val="Normal"/>
        <w:widowControl w:val="false"/>
        <w:jc w:val="both"/>
        <w:rPr>
          <w:rFonts w:ascii="Calibri" w:hAnsi="Calibri" w:eastAsia="Calibri" w:cs="Calibri"/>
        </w:rPr>
      </w:pPr>
      <w:r>
        <w:rPr>
          <w:rFonts w:eastAsia="Verdana" w:cs="Verdana" w:ascii="Verdana" w:hAnsi="Verdana"/>
          <w:b/>
          <w:sz w:val="18"/>
          <w:szCs w:val="18"/>
        </w:rPr>
        <w:t>17.1</w:t>
      </w:r>
      <w:r>
        <w:rPr>
          <w:rFonts w:eastAsia="Verdana" w:cs="Verdana" w:ascii="Verdana" w:hAnsi="Verdana"/>
          <w:sz w:val="18"/>
          <w:szCs w:val="18"/>
        </w:rPr>
        <w:t xml:space="preserve"> - Fica eleito o foro de Vitória/ES para dirimir as questões oriundas do presente contrato, renunciando as partes a qualquer outro, por mais privilegiado que seja.</w:t>
      </w:r>
    </w:p>
    <w:p>
      <w:pPr>
        <w:pStyle w:val="Normal"/>
        <w:widowControl w:val="false"/>
        <w:jc w:val="both"/>
        <w:rPr>
          <w:rFonts w:ascii="Verdana" w:hAnsi="Verdana" w:eastAsia="Verdana" w:cs="Verdana"/>
          <w:sz w:val="18"/>
          <w:szCs w:val="18"/>
        </w:rPr>
      </w:pPr>
      <w:r>
        <w:rPr>
          <w:rFonts w:eastAsia="Verdana" w:cs="Verdana" w:ascii="Verdana" w:hAnsi="Verdana"/>
          <w:sz w:val="18"/>
          <w:szCs w:val="18"/>
        </w:rPr>
      </w:r>
    </w:p>
    <w:p>
      <w:pPr>
        <w:pStyle w:val="Normal"/>
        <w:widowControl w:val="false"/>
        <w:jc w:val="both"/>
        <w:rPr>
          <w:rFonts w:ascii="Calibri" w:hAnsi="Calibri" w:eastAsia="Calibri" w:cs="Calibri"/>
        </w:rPr>
      </w:pPr>
      <w:r>
        <w:rPr>
          <w:rFonts w:eastAsia="Verdana" w:cs="Verdana" w:ascii="Verdana" w:hAnsi="Verdana"/>
          <w:b/>
          <w:sz w:val="18"/>
          <w:szCs w:val="18"/>
        </w:rPr>
        <w:t>17.2</w:t>
      </w:r>
      <w:r>
        <w:rPr>
          <w:rFonts w:eastAsia="Verdana" w:cs="Verdana" w:ascii="Verdana" w:hAnsi="Verdana"/>
          <w:sz w:val="18"/>
          <w:szCs w:val="18"/>
        </w:rPr>
        <w:t xml:space="preserve"> - E por estarem justos e convencionados, assinam o presente.</w:t>
      </w:r>
    </w:p>
    <w:p>
      <w:pPr>
        <w:pStyle w:val="Normal"/>
        <w:widowControl w:val="false"/>
        <w:jc w:val="both"/>
        <w:rPr>
          <w:rFonts w:ascii="Verdana" w:hAnsi="Verdana" w:eastAsia="Verdana" w:cs="Verdana"/>
          <w:sz w:val="18"/>
          <w:szCs w:val="18"/>
        </w:rPr>
      </w:pPr>
      <w:r>
        <w:rPr>
          <w:rFonts w:eastAsia="Verdana" w:cs="Verdana" w:ascii="Verdana" w:hAnsi="Verdana"/>
          <w:sz w:val="18"/>
          <w:szCs w:val="18"/>
        </w:rPr>
      </w:r>
    </w:p>
    <w:p>
      <w:pPr>
        <w:pStyle w:val="Normal"/>
        <w:tabs>
          <w:tab w:val="clear" w:pos="720"/>
          <w:tab w:val="left" w:pos="426" w:leader="none"/>
        </w:tabs>
        <w:ind w:left="426" w:hanging="0"/>
        <w:jc w:val="right"/>
        <w:rPr>
          <w:rFonts w:ascii="Verdana" w:hAnsi="Verdana" w:eastAsia="Verdana" w:cs="Verdana"/>
          <w:sz w:val="18"/>
          <w:szCs w:val="18"/>
        </w:rPr>
      </w:pPr>
      <w:r>
        <w:rPr>
          <w:rFonts w:eastAsia="Verdana" w:cs="Verdana" w:ascii="Verdana" w:hAnsi="Verdana"/>
          <w:sz w:val="18"/>
          <w:szCs w:val="18"/>
        </w:rPr>
      </w:r>
    </w:p>
    <w:p>
      <w:pPr>
        <w:pStyle w:val="Normal"/>
        <w:tabs>
          <w:tab w:val="clear" w:pos="720"/>
          <w:tab w:val="left" w:pos="426" w:leader="none"/>
        </w:tabs>
        <w:ind w:left="426" w:hanging="0"/>
        <w:jc w:val="right"/>
        <w:rPr>
          <w:rFonts w:ascii="Verdana" w:hAnsi="Verdana" w:eastAsia="Verdana" w:cs="Verdana"/>
          <w:sz w:val="18"/>
          <w:szCs w:val="18"/>
        </w:rPr>
      </w:pPr>
      <w:r>
        <w:rPr>
          <w:rFonts w:eastAsia="Verdana" w:cs="Verdana" w:ascii="Verdana" w:hAnsi="Verdana"/>
          <w:sz w:val="18"/>
          <w:szCs w:val="18"/>
        </w:rPr>
      </w:r>
    </w:p>
    <w:p>
      <w:pPr>
        <w:pStyle w:val="Normal"/>
        <w:tabs>
          <w:tab w:val="clear" w:pos="720"/>
          <w:tab w:val="left" w:pos="426" w:leader="none"/>
        </w:tabs>
        <w:ind w:left="426" w:hanging="0"/>
        <w:jc w:val="right"/>
        <w:rPr>
          <w:rFonts w:ascii="Verdana" w:hAnsi="Verdana" w:eastAsia="Verdana" w:cs="Verdana"/>
          <w:sz w:val="18"/>
          <w:szCs w:val="18"/>
        </w:rPr>
      </w:pPr>
      <w:r>
        <w:rPr>
          <w:rFonts w:eastAsia="Verdana" w:cs="Verdana" w:ascii="Verdana" w:hAnsi="Verdana"/>
          <w:sz w:val="18"/>
          <w:szCs w:val="18"/>
        </w:rPr>
        <w:t>Vitória/ES, ____ de _____________ de 2023.</w:t>
      </w:r>
    </w:p>
    <w:p>
      <w:pPr>
        <w:pStyle w:val="Normal"/>
        <w:tabs>
          <w:tab w:val="clear" w:pos="720"/>
          <w:tab w:val="left" w:pos="426" w:leader="none"/>
        </w:tabs>
        <w:ind w:left="426" w:hanging="0"/>
        <w:jc w:val="right"/>
        <w:rPr>
          <w:rFonts w:ascii="Verdana" w:hAnsi="Verdana" w:eastAsia="Verdana" w:cs="Verdana"/>
          <w:sz w:val="18"/>
          <w:szCs w:val="18"/>
        </w:rPr>
      </w:pPr>
      <w:r>
        <w:rPr>
          <w:rFonts w:eastAsia="Verdana" w:cs="Verdana" w:ascii="Verdana" w:hAnsi="Verdana"/>
          <w:sz w:val="18"/>
          <w:szCs w:val="18"/>
        </w:rPr>
      </w:r>
    </w:p>
    <w:p>
      <w:pPr>
        <w:pStyle w:val="Normal"/>
        <w:tabs>
          <w:tab w:val="clear" w:pos="720"/>
          <w:tab w:val="left" w:pos="0" w:leader="none"/>
        </w:tabs>
        <w:rPr>
          <w:rFonts w:ascii="Verdana" w:hAnsi="Verdana" w:eastAsia="Verdana" w:cs="Verdana"/>
          <w:sz w:val="18"/>
          <w:szCs w:val="18"/>
        </w:rPr>
      </w:pPr>
      <w:r>
        <w:rPr>
          <w:rFonts w:eastAsia="Verdana" w:cs="Verdana" w:ascii="Verdana" w:hAnsi="Verdana"/>
          <w:sz w:val="18"/>
          <w:szCs w:val="18"/>
        </w:rPr>
      </w:r>
    </w:p>
    <w:p>
      <w:pPr>
        <w:pStyle w:val="Normal"/>
        <w:tabs>
          <w:tab w:val="clear" w:pos="720"/>
          <w:tab w:val="left" w:pos="0" w:leader="none"/>
        </w:tabs>
        <w:rPr>
          <w:rFonts w:ascii="Verdana" w:hAnsi="Verdana" w:eastAsia="Verdana" w:cs="Verdana"/>
          <w:sz w:val="18"/>
          <w:szCs w:val="18"/>
        </w:rPr>
      </w:pPr>
      <w:r>
        <w:rPr>
          <w:rFonts w:eastAsia="Verdana" w:cs="Verdana" w:ascii="Verdana" w:hAnsi="Verdana"/>
          <w:sz w:val="18"/>
          <w:szCs w:val="18"/>
        </w:rPr>
      </w:r>
    </w:p>
    <w:p>
      <w:pPr>
        <w:pStyle w:val="Normal"/>
        <w:widowControl w:val="false"/>
        <w:rPr>
          <w:rFonts w:ascii="Verdana" w:hAnsi="Verdana" w:eastAsia="Verdana" w:cs="Verdana"/>
          <w:sz w:val="18"/>
          <w:szCs w:val="18"/>
        </w:rPr>
      </w:pPr>
      <w:r>
        <w:rPr>
          <w:rFonts w:eastAsia="Verdana" w:cs="Verdana" w:ascii="Verdana" w:hAnsi="Verdana"/>
          <w:sz w:val="18"/>
          <w:szCs w:val="18"/>
        </w:rPr>
      </w:r>
    </w:p>
    <w:p>
      <w:pPr>
        <w:pStyle w:val="Normal"/>
        <w:widowControl w:val="false"/>
        <w:jc w:val="center"/>
        <w:rPr>
          <w:rFonts w:ascii="Verdana" w:hAnsi="Verdana" w:eastAsia="Verdana" w:cs="Verdana"/>
          <w:sz w:val="18"/>
          <w:szCs w:val="18"/>
        </w:rPr>
      </w:pPr>
      <w:r>
        <w:rPr>
          <w:rFonts w:eastAsia="Verdana" w:cs="Verdana" w:ascii="Verdana" w:hAnsi="Verdana"/>
          <w:sz w:val="18"/>
          <w:szCs w:val="18"/>
        </w:rPr>
        <w:t>_____________________________________</w:t>
      </w:r>
    </w:p>
    <w:p>
      <w:pPr>
        <w:pStyle w:val="Normal"/>
        <w:tabs>
          <w:tab w:val="clear" w:pos="720"/>
          <w:tab w:val="left" w:pos="0" w:leader="none"/>
        </w:tabs>
        <w:jc w:val="center"/>
        <w:rPr>
          <w:rFonts w:ascii="Verdana" w:hAnsi="Verdana" w:eastAsia="Verdana" w:cs="Verdana"/>
          <w:b/>
          <w:b/>
          <w:sz w:val="18"/>
          <w:szCs w:val="18"/>
        </w:rPr>
      </w:pPr>
      <w:r>
        <w:rPr>
          <w:rFonts w:eastAsia="Verdana" w:cs="Verdana" w:ascii="Verdana" w:hAnsi="Verdana"/>
          <w:b/>
          <w:sz w:val="18"/>
          <w:szCs w:val="18"/>
        </w:rPr>
        <w:t>MARCELO TAVARES DE ALBUQUERQUE</w:t>
      </w:r>
    </w:p>
    <w:p>
      <w:pPr>
        <w:pStyle w:val="Normal"/>
        <w:widowControl w:val="false"/>
        <w:jc w:val="center"/>
        <w:rPr>
          <w:rFonts w:ascii="Verdana" w:hAnsi="Verdana" w:eastAsia="Verdana" w:cs="Verdana"/>
          <w:sz w:val="18"/>
          <w:szCs w:val="18"/>
        </w:rPr>
      </w:pPr>
      <w:r>
        <w:rPr>
          <w:rFonts w:eastAsia="Verdana" w:cs="Verdana" w:ascii="Verdana" w:hAnsi="Verdana"/>
          <w:sz w:val="18"/>
          <w:szCs w:val="18"/>
        </w:rPr>
        <w:t>Tribunal de Justiça do Estado do Espírito Santo</w:t>
      </w:r>
    </w:p>
    <w:p>
      <w:pPr>
        <w:pStyle w:val="Normal"/>
        <w:widowControl w:val="false"/>
        <w:jc w:val="center"/>
        <w:rPr>
          <w:rFonts w:ascii="Calibri" w:hAnsi="Calibri" w:eastAsia="Calibri" w:cs="Calibri"/>
        </w:rPr>
      </w:pPr>
      <w:r>
        <w:rPr>
          <w:rFonts w:eastAsia="Verdana" w:cs="Verdana" w:ascii="Verdana" w:hAnsi="Verdana"/>
          <w:sz w:val="18"/>
          <w:szCs w:val="18"/>
        </w:rPr>
        <w:t>(</w:t>
      </w:r>
      <w:r>
        <w:rPr>
          <w:rFonts w:eastAsia="Verdana" w:cs="Verdana" w:ascii="Verdana" w:hAnsi="Verdana"/>
          <w:smallCaps/>
          <w:sz w:val="18"/>
          <w:szCs w:val="18"/>
        </w:rPr>
        <w:t>CONTRATANTE</w:t>
      </w:r>
      <w:r>
        <w:rPr>
          <w:rFonts w:eastAsia="Verdana" w:cs="Verdana" w:ascii="Verdana" w:hAnsi="Verdana"/>
          <w:sz w:val="18"/>
          <w:szCs w:val="18"/>
        </w:rPr>
        <w:t>)</w:t>
      </w:r>
    </w:p>
    <w:p>
      <w:pPr>
        <w:pStyle w:val="Normal"/>
        <w:widowControl w:val="false"/>
        <w:rPr>
          <w:rFonts w:ascii="Verdana" w:hAnsi="Verdana" w:eastAsia="Verdana" w:cs="Verdana"/>
          <w:sz w:val="18"/>
          <w:szCs w:val="18"/>
        </w:rPr>
      </w:pPr>
      <w:r>
        <w:rPr>
          <w:rFonts w:eastAsia="Verdana" w:cs="Verdana" w:ascii="Verdana" w:hAnsi="Verdana"/>
          <w:sz w:val="18"/>
          <w:szCs w:val="18"/>
        </w:rPr>
      </w:r>
    </w:p>
    <w:p>
      <w:pPr>
        <w:pStyle w:val="Normal"/>
        <w:widowControl w:val="false"/>
        <w:rPr>
          <w:rFonts w:ascii="Verdana" w:hAnsi="Verdana" w:eastAsia="Verdana" w:cs="Verdana"/>
          <w:sz w:val="18"/>
          <w:szCs w:val="18"/>
        </w:rPr>
      </w:pPr>
      <w:r>
        <w:rPr>
          <w:rFonts w:eastAsia="Verdana" w:cs="Verdana" w:ascii="Verdana" w:hAnsi="Verdana"/>
          <w:sz w:val="18"/>
          <w:szCs w:val="18"/>
        </w:rPr>
      </w:r>
    </w:p>
    <w:p>
      <w:pPr>
        <w:pStyle w:val="Normal"/>
        <w:widowControl w:val="false"/>
        <w:jc w:val="center"/>
        <w:rPr>
          <w:rFonts w:ascii="Verdana" w:hAnsi="Verdana" w:eastAsia="Verdana" w:cs="Verdana"/>
          <w:sz w:val="18"/>
          <w:szCs w:val="18"/>
        </w:rPr>
      </w:pPr>
      <w:r>
        <w:rPr>
          <w:rFonts w:eastAsia="Verdana" w:cs="Verdana" w:ascii="Verdana" w:hAnsi="Verdana"/>
          <w:sz w:val="18"/>
          <w:szCs w:val="18"/>
        </w:rPr>
        <w:t>_____________________________________</w:t>
      </w:r>
    </w:p>
    <w:p>
      <w:pPr>
        <w:pStyle w:val="Normal"/>
        <w:widowControl w:val="false"/>
        <w:jc w:val="center"/>
        <w:rPr>
          <w:rFonts w:ascii="Calibri" w:hAnsi="Calibri" w:eastAsia="Calibri" w:cs="Calibri"/>
        </w:rPr>
      </w:pPr>
      <w:r>
        <w:rPr>
          <w:rFonts w:eastAsia="Verdana" w:cs="Verdana" w:ascii="Verdana" w:hAnsi="Verdana"/>
          <w:sz w:val="18"/>
          <w:szCs w:val="18"/>
        </w:rPr>
        <w:t>(</w:t>
      </w:r>
      <w:r>
        <w:rPr>
          <w:rFonts w:eastAsia="Verdana" w:cs="Verdana" w:ascii="Verdana" w:hAnsi="Verdana"/>
          <w:smallCaps/>
          <w:sz w:val="18"/>
          <w:szCs w:val="18"/>
        </w:rPr>
        <w:t>CONTRATADA</w:t>
      </w:r>
      <w:r>
        <w:rPr>
          <w:rFonts w:eastAsia="Verdana" w:cs="Verdana" w:ascii="Verdana" w:hAnsi="Verdana"/>
          <w:sz w:val="18"/>
          <w:szCs w:val="18"/>
        </w:rPr>
        <w:t>)</w:t>
      </w:r>
    </w:p>
    <w:p>
      <w:pPr>
        <w:pStyle w:val="Normal"/>
        <w:jc w:val="both"/>
        <w:rPr>
          <w:rFonts w:ascii="Verdana" w:hAnsi="Verdana" w:eastAsia="Verdana" w:cs="Verdana"/>
          <w:sz w:val="18"/>
          <w:szCs w:val="18"/>
        </w:rPr>
      </w:pPr>
      <w:r>
        <w:rPr>
          <w:rFonts w:eastAsia="Verdana" w:cs="Verdana" w:ascii="Verdana" w:hAnsi="Verdana"/>
          <w:sz w:val="18"/>
          <w:szCs w:val="18"/>
        </w:rPr>
      </w:r>
    </w:p>
    <w:p>
      <w:pPr>
        <w:pStyle w:val="Normal"/>
        <w:jc w:val="both"/>
        <w:rPr>
          <w:rFonts w:ascii="Verdana" w:hAnsi="Verdana" w:eastAsia="Verdana" w:cs="Verdana"/>
          <w:sz w:val="18"/>
          <w:szCs w:val="18"/>
        </w:rPr>
      </w:pPr>
      <w:r>
        <w:rPr>
          <w:rFonts w:eastAsia="Verdana" w:cs="Verdana" w:ascii="Verdana" w:hAnsi="Verdana"/>
          <w:sz w:val="18"/>
          <w:szCs w:val="18"/>
        </w:rPr>
      </w:r>
    </w:p>
    <w:p>
      <w:pPr>
        <w:pStyle w:val="Normal"/>
        <w:jc w:val="both"/>
        <w:rPr>
          <w:rFonts w:ascii="Verdana" w:hAnsi="Verdana" w:eastAsia="Verdana" w:cs="Verdana"/>
          <w:sz w:val="18"/>
          <w:szCs w:val="18"/>
        </w:rPr>
      </w:pPr>
      <w:r>
        <w:rPr>
          <w:rFonts w:eastAsia="Verdana" w:cs="Verdana" w:ascii="Verdana" w:hAnsi="Verdana"/>
          <w:sz w:val="18"/>
          <w:szCs w:val="18"/>
        </w:rPr>
      </w:r>
    </w:p>
    <w:p>
      <w:pPr>
        <w:pStyle w:val="Normal"/>
        <w:jc w:val="both"/>
        <w:rPr>
          <w:rFonts w:ascii="Verdana" w:hAnsi="Verdana" w:eastAsia="Verdana" w:cs="Verdana"/>
          <w:sz w:val="18"/>
          <w:szCs w:val="18"/>
        </w:rPr>
      </w:pPr>
      <w:r>
        <w:rPr>
          <w:rFonts w:eastAsia="Verdana" w:cs="Verdana" w:ascii="Verdana" w:hAnsi="Verdana"/>
          <w:sz w:val="18"/>
          <w:szCs w:val="18"/>
        </w:rPr>
      </w:r>
    </w:p>
    <w:p>
      <w:pPr>
        <w:pStyle w:val="Normal"/>
        <w:jc w:val="both"/>
        <w:rPr>
          <w:rFonts w:ascii="Verdana" w:hAnsi="Verdana" w:eastAsia="Verdana" w:cs="Verdana"/>
          <w:sz w:val="18"/>
          <w:szCs w:val="18"/>
        </w:rPr>
      </w:pPr>
      <w:r>
        <w:rPr>
          <w:rFonts w:eastAsia="Verdana" w:cs="Verdana" w:ascii="Verdana" w:hAnsi="Verdana"/>
          <w:sz w:val="18"/>
          <w:szCs w:val="18"/>
        </w:rPr>
      </w:r>
    </w:p>
    <w:p>
      <w:pPr>
        <w:pStyle w:val="Normal"/>
        <w:shd w:val="clear" w:color="auto" w:fill="C0C0C0"/>
        <w:jc w:val="center"/>
        <w:rPr>
          <w:rFonts w:ascii="Verdana" w:hAnsi="Verdana" w:eastAsia="Verdana" w:cs="Verdana"/>
          <w:b/>
          <w:b/>
          <w:sz w:val="18"/>
          <w:szCs w:val="18"/>
        </w:rPr>
      </w:pPr>
      <w:r>
        <w:rPr>
          <w:rFonts w:eastAsia="Verdana" w:cs="Verdana" w:ascii="Verdana" w:hAnsi="Verdana"/>
          <w:b/>
          <w:sz w:val="18"/>
          <w:szCs w:val="18"/>
        </w:rPr>
        <w:t>ADENDO I AO CONTRATO – POLÍTICA DO BANCO (BID) SOBRE PRÁTICAS PROIBIDAS</w:t>
      </w:r>
    </w:p>
    <w:p>
      <w:pPr>
        <w:pStyle w:val="Normal"/>
        <w:spacing w:lineRule="auto" w:line="360"/>
        <w:jc w:val="both"/>
        <w:rPr>
          <w:rFonts w:ascii="Verdana" w:hAnsi="Verdana" w:eastAsia="Verdana" w:cs="Verdana"/>
          <w:b/>
          <w:b/>
          <w:sz w:val="18"/>
          <w:szCs w:val="18"/>
          <w:u w:val="single"/>
        </w:rPr>
      </w:pPr>
      <w:r>
        <w:rPr>
          <w:rFonts w:eastAsia="Verdana" w:cs="Verdana" w:ascii="Verdana" w:hAnsi="Verdana"/>
          <w:b/>
          <w:sz w:val="18"/>
          <w:szCs w:val="18"/>
          <w:u w:val="single"/>
        </w:rPr>
      </w:r>
    </w:p>
    <w:p>
      <w:pPr>
        <w:pStyle w:val="Normal"/>
        <w:widowControl w:val="false"/>
        <w:rPr>
          <w:rFonts w:ascii="Verdana" w:hAnsi="Verdana" w:eastAsia="Verdana" w:cs="Verdana"/>
          <w:sz w:val="18"/>
          <w:szCs w:val="18"/>
        </w:rPr>
      </w:pPr>
      <w:r>
        <w:rPr>
          <w:rFonts w:eastAsia="Verdana" w:cs="Verdana" w:ascii="Verdana" w:hAnsi="Verdana"/>
          <w:sz w:val="18"/>
          <w:szCs w:val="18"/>
        </w:rPr>
      </w:r>
      <w:bookmarkStart w:id="12" w:name="_heading=h.3znysh7"/>
      <w:bookmarkStart w:id="13" w:name="_heading=h.3znysh7"/>
      <w:bookmarkEnd w:id="13"/>
    </w:p>
    <w:p>
      <w:pPr>
        <w:pStyle w:val="Normal"/>
        <w:widowControl w:val="false"/>
        <w:tabs>
          <w:tab w:val="clear" w:pos="720"/>
          <w:tab w:val="right" w:pos="9356" w:leader="none"/>
        </w:tabs>
        <w:jc w:val="center"/>
        <w:rPr>
          <w:rFonts w:ascii="Verdana" w:hAnsi="Verdana" w:eastAsia="Verdana" w:cs="Verdana"/>
          <w:b/>
          <w:b/>
          <w:sz w:val="18"/>
          <w:szCs w:val="18"/>
        </w:rPr>
      </w:pPr>
      <w:r>
        <w:rPr>
          <w:rFonts w:eastAsia="Verdana" w:cs="Verdana" w:ascii="Verdana" w:hAnsi="Verdana"/>
          <w:b/>
          <w:sz w:val="18"/>
          <w:szCs w:val="18"/>
        </w:rPr>
        <w:t>Práticas Proibidas</w:t>
      </w:r>
    </w:p>
    <w:p>
      <w:pPr>
        <w:pStyle w:val="Normal"/>
        <w:widowControl w:val="false"/>
        <w:rPr>
          <w:rFonts w:ascii="Verdana" w:hAnsi="Verdana" w:eastAsia="Verdana" w:cs="Verdana"/>
          <w:sz w:val="18"/>
          <w:szCs w:val="18"/>
        </w:rPr>
      </w:pPr>
      <w:r>
        <w:rPr>
          <w:rFonts w:eastAsia="Verdana" w:cs="Verdana" w:ascii="Verdana" w:hAnsi="Verdana"/>
          <w:sz w:val="18"/>
          <w:szCs w:val="18"/>
        </w:rPr>
      </w:r>
    </w:p>
    <w:p>
      <w:pPr>
        <w:pStyle w:val="Normal"/>
        <w:widowControl w:val="false"/>
        <w:jc w:val="both"/>
        <w:rPr>
          <w:rFonts w:ascii="Verdana" w:hAnsi="Verdana" w:eastAsia="Verdana" w:cs="Verdana"/>
          <w:sz w:val="18"/>
          <w:szCs w:val="18"/>
        </w:rPr>
      </w:pPr>
      <w:r>
        <w:rPr>
          <w:rFonts w:eastAsia="Verdana" w:cs="Verdana" w:ascii="Verdana" w:hAnsi="Verdana"/>
          <w:sz w:val="18"/>
          <w:szCs w:val="18"/>
        </w:rPr>
        <w:t xml:space="preserve">1.1 O Banco requer que todos os Mutuários (incluindo beneficiários de doações), Agências Executoras ou Agências Contratantes, bem como todas as empresas, entidades ou pessoas físicas que estejam apresentando propostas ou participando de atividades financiadas pelo Banco, incluindo, </w:t>
      </w:r>
      <w:r>
        <w:rPr>
          <w:rFonts w:eastAsia="Verdana" w:cs="Verdana" w:ascii="Verdana" w:hAnsi="Verdana"/>
          <w:i/>
          <w:sz w:val="18"/>
          <w:szCs w:val="18"/>
        </w:rPr>
        <w:t>inter alia</w:t>
      </w:r>
      <w:r>
        <w:rPr>
          <w:rFonts w:eastAsia="Verdana" w:cs="Verdana" w:ascii="Verdana" w:hAnsi="Verdana"/>
          <w:sz w:val="18"/>
          <w:szCs w:val="18"/>
        </w:rPr>
        <w:t xml:space="preserve">, solicitantes, concorrentes, fornecedores de bens, empreiteiros, consultores, pessoal, subempreiteiros, subconsultores, prestadores de serviços e concessionárias (incluindo seus respectivos funcionários, empregados e agentes, quer com atribuições expressas ou implícitas), observem os mais altos padrões éticos, e denunciem ao Banco </w:t>
      </w:r>
      <w:r>
        <w:rPr>
          <w:rStyle w:val="Ncoradanotaderodap"/>
          <w:rFonts w:eastAsia="Verdana" w:cs="Verdana" w:ascii="Verdana" w:hAnsi="Verdana"/>
          <w:sz w:val="18"/>
          <w:szCs w:val="18"/>
          <w:vertAlign w:val="superscript"/>
        </w:rPr>
        <w:footnoteReference w:id="3"/>
      </w:r>
      <w:r>
        <w:rPr>
          <w:rFonts w:eastAsia="Verdana" w:cs="Verdana" w:ascii="Verdana" w:hAnsi="Verdana"/>
          <w:sz w:val="18"/>
          <w:szCs w:val="18"/>
          <w:vertAlign w:val="superscript"/>
        </w:rPr>
        <w:t xml:space="preserve"> </w:t>
      </w:r>
      <w:r>
        <w:rPr>
          <w:rFonts w:eastAsia="Verdana" w:cs="Verdana" w:ascii="Verdana" w:hAnsi="Verdana"/>
          <w:sz w:val="18"/>
          <w:szCs w:val="18"/>
        </w:rPr>
        <w:t>todos os atos suspeitos de constituir uma Prática Proibida da qual tenha conhecimento ou seja informado, durante o processo de seleção e negociação ou na execução de um contrato.  As Práticas Proibidas compreendem atos de: (a) práticas corruptas; (b) práticas fraudulentas; (c) práticas coercitivas; (d) práticas colusivas e (e) práticas obstrutivas. O Banco estabeleceu mecanismos para denúncia de suspeitas de Práticas Proibidas. Qualquer denúncia deverá ser apresentada ao Escritório de Integridade Institucional (EII) do Banco para que se realize a devida investigação. O Banco também estabeleceu procedimentos de sanção para a resolução de casos.  Além disso, o Banco celebrou acordos com outras instituições financeiras internacionais (IFI) visando ao reconhecimento recíproco às sanções aplicadas pelos respectivos órgãos de sanção.</w:t>
      </w:r>
    </w:p>
    <w:p>
      <w:pPr>
        <w:pStyle w:val="Normal"/>
        <w:widowControl w:val="false"/>
        <w:jc w:val="both"/>
        <w:rPr>
          <w:rFonts w:ascii="Verdana" w:hAnsi="Verdana" w:eastAsia="Verdana" w:cs="Verdana"/>
          <w:sz w:val="18"/>
          <w:szCs w:val="18"/>
        </w:rPr>
      </w:pPr>
      <w:r>
        <w:rPr>
          <w:rFonts w:eastAsia="Verdana" w:cs="Verdana" w:ascii="Verdana" w:hAnsi="Verdana"/>
          <w:sz w:val="18"/>
          <w:szCs w:val="18"/>
        </w:rPr>
      </w:r>
    </w:p>
    <w:p>
      <w:pPr>
        <w:pStyle w:val="Normal"/>
        <w:spacing w:before="0" w:after="120"/>
        <w:jc w:val="both"/>
        <w:rPr>
          <w:rFonts w:ascii="Verdana" w:hAnsi="Verdana" w:eastAsia="Verdana" w:cs="Verdana"/>
          <w:sz w:val="18"/>
          <w:szCs w:val="18"/>
        </w:rPr>
      </w:pPr>
      <w:r>
        <w:rPr>
          <w:rFonts w:eastAsia="Verdana" w:cs="Verdana" w:ascii="Verdana" w:hAnsi="Verdana"/>
          <w:sz w:val="18"/>
          <w:szCs w:val="18"/>
        </w:rPr>
        <w:t>(a) Para fins de cumprimento dessa política, o Banco define os termos indicados a seguir:</w:t>
      </w:r>
    </w:p>
    <w:p>
      <w:pPr>
        <w:pStyle w:val="Normal"/>
        <w:tabs>
          <w:tab w:val="clear" w:pos="720"/>
          <w:tab w:val="left" w:pos="203" w:leader="none"/>
        </w:tabs>
        <w:spacing w:before="0" w:after="120"/>
        <w:ind w:left="851" w:hanging="0"/>
        <w:jc w:val="both"/>
        <w:rPr>
          <w:rFonts w:ascii="Verdana" w:hAnsi="Verdana" w:eastAsia="Verdana" w:cs="Verdana"/>
          <w:sz w:val="18"/>
          <w:szCs w:val="18"/>
        </w:rPr>
      </w:pPr>
      <w:r>
        <w:rPr>
          <w:rFonts w:eastAsia="Verdana" w:cs="Verdana" w:ascii="Verdana" w:hAnsi="Verdana"/>
          <w:sz w:val="18"/>
          <w:szCs w:val="18"/>
        </w:rPr>
        <w:t xml:space="preserve">(i) uma </w:t>
      </w:r>
      <w:r>
        <w:rPr>
          <w:rFonts w:eastAsia="Verdana" w:cs="Verdana" w:ascii="Verdana" w:hAnsi="Verdana"/>
          <w:i/>
          <w:sz w:val="18"/>
          <w:szCs w:val="18"/>
        </w:rPr>
        <w:t>prática corrupta</w:t>
      </w:r>
      <w:r>
        <w:rPr>
          <w:rFonts w:eastAsia="Verdana" w:cs="Verdana" w:ascii="Verdana" w:hAnsi="Verdana"/>
          <w:sz w:val="18"/>
          <w:szCs w:val="18"/>
        </w:rPr>
        <w:t xml:space="preserve"> consiste em oferecer, dar, receber ou solicitar, direta ou indiretamente, qualquer coisa de valor para influenciar as ações de outra parte;</w:t>
      </w:r>
    </w:p>
    <w:p>
      <w:pPr>
        <w:pStyle w:val="Normal"/>
        <w:tabs>
          <w:tab w:val="clear" w:pos="720"/>
          <w:tab w:val="left" w:pos="203" w:leader="none"/>
        </w:tabs>
        <w:spacing w:before="0" w:after="120"/>
        <w:ind w:left="851" w:hanging="0"/>
        <w:jc w:val="both"/>
        <w:rPr>
          <w:rFonts w:ascii="Verdana" w:hAnsi="Verdana" w:eastAsia="Verdana" w:cs="Verdana"/>
          <w:sz w:val="18"/>
          <w:szCs w:val="18"/>
        </w:rPr>
      </w:pPr>
      <w:r>
        <w:rPr>
          <w:rFonts w:eastAsia="Verdana" w:cs="Verdana" w:ascii="Verdana" w:hAnsi="Verdana"/>
          <w:sz w:val="18"/>
          <w:szCs w:val="18"/>
        </w:rPr>
        <w:t xml:space="preserve">(ii) uma </w:t>
      </w:r>
      <w:r>
        <w:rPr>
          <w:rFonts w:eastAsia="Verdana" w:cs="Verdana" w:ascii="Verdana" w:hAnsi="Verdana"/>
          <w:i/>
          <w:sz w:val="18"/>
          <w:szCs w:val="18"/>
        </w:rPr>
        <w:t>prática fraudulenta</w:t>
      </w:r>
      <w:r>
        <w:rPr>
          <w:rFonts w:eastAsia="Verdana" w:cs="Verdana" w:ascii="Verdana" w:hAnsi="Verdana"/>
          <w:sz w:val="18"/>
          <w:szCs w:val="18"/>
        </w:rPr>
        <w:t xml:space="preserve"> é qualquer ato ou omissão, incluindo uma declaração falsa que engane ou tente enganar uma parte para obter benefício financeiro ou de outra natureza ou para evitar uma obrigação;</w:t>
      </w:r>
    </w:p>
    <w:p>
      <w:pPr>
        <w:pStyle w:val="Normal"/>
        <w:tabs>
          <w:tab w:val="clear" w:pos="720"/>
          <w:tab w:val="left" w:pos="203" w:leader="none"/>
        </w:tabs>
        <w:spacing w:before="0" w:after="120"/>
        <w:ind w:left="851" w:hanging="0"/>
        <w:jc w:val="both"/>
        <w:rPr>
          <w:rFonts w:ascii="Verdana" w:hAnsi="Verdana" w:eastAsia="Verdana" w:cs="Verdana"/>
          <w:sz w:val="18"/>
          <w:szCs w:val="18"/>
        </w:rPr>
      </w:pPr>
      <w:r>
        <w:rPr>
          <w:rFonts w:eastAsia="Verdana" w:cs="Verdana" w:ascii="Verdana" w:hAnsi="Verdana"/>
          <w:sz w:val="18"/>
          <w:szCs w:val="18"/>
        </w:rPr>
        <w:t xml:space="preserve">(iii) uma </w:t>
      </w:r>
      <w:r>
        <w:rPr>
          <w:rFonts w:eastAsia="Verdana" w:cs="Verdana" w:ascii="Verdana" w:hAnsi="Verdana"/>
          <w:i/>
          <w:sz w:val="18"/>
          <w:szCs w:val="18"/>
        </w:rPr>
        <w:t>prática coercitiva</w:t>
      </w:r>
      <w:r>
        <w:rPr>
          <w:rFonts w:eastAsia="Verdana" w:cs="Verdana" w:ascii="Verdana" w:hAnsi="Verdana"/>
          <w:sz w:val="18"/>
          <w:szCs w:val="18"/>
        </w:rPr>
        <w:t xml:space="preserve"> consiste em prejudicar ou causar dano ou na ameaça de prejudicar ou de causar dano, direta ou indiretamente, a qualquer parte ou propriedade da parte para influenciar indevidamente as ações de uma parte;</w:t>
      </w:r>
    </w:p>
    <w:p>
      <w:pPr>
        <w:pStyle w:val="Normal"/>
        <w:tabs>
          <w:tab w:val="clear" w:pos="720"/>
          <w:tab w:val="left" w:pos="203" w:leader="none"/>
        </w:tabs>
        <w:spacing w:before="0" w:after="120"/>
        <w:ind w:left="851" w:hanging="0"/>
        <w:jc w:val="both"/>
        <w:rPr>
          <w:rFonts w:ascii="Verdana" w:hAnsi="Verdana" w:eastAsia="Verdana" w:cs="Verdana"/>
          <w:sz w:val="18"/>
          <w:szCs w:val="18"/>
        </w:rPr>
      </w:pPr>
      <w:r>
        <w:rPr>
          <w:rFonts w:eastAsia="Verdana" w:cs="Verdana" w:ascii="Verdana" w:hAnsi="Verdana"/>
          <w:sz w:val="18"/>
          <w:szCs w:val="18"/>
        </w:rPr>
        <w:t>(iv) uma prática colusiva é um acordo entre duas ou mais partes efetuado com o intuito de alcançar um propósito impróprio, incluindo influenciar impropriamente as ações de outra parte; e</w:t>
      </w:r>
    </w:p>
    <w:p>
      <w:pPr>
        <w:pStyle w:val="Normal"/>
        <w:tabs>
          <w:tab w:val="clear" w:pos="720"/>
          <w:tab w:val="left" w:pos="203" w:leader="none"/>
        </w:tabs>
        <w:spacing w:before="0" w:after="120"/>
        <w:ind w:left="851" w:hanging="0"/>
        <w:jc w:val="both"/>
        <w:rPr>
          <w:rFonts w:ascii="Verdana" w:hAnsi="Verdana" w:eastAsia="Verdana" w:cs="Verdana"/>
          <w:sz w:val="18"/>
          <w:szCs w:val="18"/>
        </w:rPr>
      </w:pPr>
      <w:r>
        <w:rPr>
          <w:rFonts w:eastAsia="Verdana" w:cs="Verdana" w:ascii="Verdana" w:hAnsi="Verdana"/>
          <w:sz w:val="18"/>
          <w:szCs w:val="18"/>
        </w:rPr>
        <w:t>(v) uma prática obstrutiva consiste em:</w:t>
      </w:r>
    </w:p>
    <w:p>
      <w:pPr>
        <w:pStyle w:val="Normal"/>
        <w:tabs>
          <w:tab w:val="clear" w:pos="720"/>
          <w:tab w:val="left" w:pos="203" w:leader="none"/>
        </w:tabs>
        <w:spacing w:before="0" w:after="120"/>
        <w:ind w:left="851" w:hanging="0"/>
        <w:jc w:val="both"/>
        <w:rPr>
          <w:rFonts w:ascii="Verdana" w:hAnsi="Verdana" w:eastAsia="Verdana" w:cs="Verdana"/>
          <w:sz w:val="18"/>
          <w:szCs w:val="18"/>
        </w:rPr>
      </w:pPr>
      <w:r>
        <w:rPr>
          <w:rFonts w:eastAsia="Verdana" w:cs="Verdana" w:ascii="Verdana" w:hAnsi="Verdana"/>
          <w:sz w:val="18"/>
          <w:szCs w:val="18"/>
        </w:rPr>
        <w:t>(aa) destruir, falsificar, alterar ou ocultar deliberadamente uma evidência significativa para a investigação ou prestar declarações falsas aos investigadores com o fim de obstruir materialmente uma investigação do Grupo do Banco sobre denúncias de uma prática corrupta, fraudulenta, coercitiva ou colusiva; e/ou ameaçar, assediar ou intimidar qualquer parte para impedir a divulgação de seu conhecimento de assuntos que são importantes para a investigação ou a continuação da investigação,</w:t>
      </w:r>
    </w:p>
    <w:p>
      <w:pPr>
        <w:pStyle w:val="Normal"/>
        <w:tabs>
          <w:tab w:val="clear" w:pos="720"/>
          <w:tab w:val="left" w:pos="203" w:leader="none"/>
        </w:tabs>
        <w:spacing w:before="0" w:after="120"/>
        <w:ind w:left="851" w:hanging="0"/>
        <w:jc w:val="both"/>
        <w:rPr>
          <w:rFonts w:ascii="Verdana" w:hAnsi="Verdana" w:eastAsia="Verdana" w:cs="Verdana"/>
          <w:sz w:val="18"/>
          <w:szCs w:val="18"/>
        </w:rPr>
      </w:pPr>
      <w:r>
        <w:rPr>
          <w:rFonts w:eastAsia="Verdana" w:cs="Verdana" w:ascii="Verdana" w:hAnsi="Verdana"/>
          <w:sz w:val="18"/>
          <w:szCs w:val="18"/>
        </w:rPr>
        <w:t>(bb) ameaçar, assediar ou intimidar qualquer parte para impedir a divulgação de seu conhecimento de assuntos que são importantes para a investigação do Grupo BID ou a continuação da investigação; ou</w:t>
      </w:r>
    </w:p>
    <w:p>
      <w:pPr>
        <w:pStyle w:val="Normal"/>
        <w:tabs>
          <w:tab w:val="clear" w:pos="720"/>
          <w:tab w:val="left" w:pos="203" w:leader="none"/>
        </w:tabs>
        <w:spacing w:before="0" w:after="120"/>
        <w:ind w:left="851" w:hanging="360"/>
        <w:jc w:val="both"/>
        <w:rPr>
          <w:rFonts w:ascii="Verdana" w:hAnsi="Verdana" w:eastAsia="Verdana" w:cs="Verdana"/>
          <w:sz w:val="18"/>
          <w:szCs w:val="18"/>
        </w:rPr>
      </w:pPr>
      <w:r>
        <w:rPr>
          <w:rFonts w:eastAsia="Verdana" w:cs="Verdana" w:ascii="Verdana" w:hAnsi="Verdana"/>
          <w:sz w:val="18"/>
          <w:szCs w:val="18"/>
        </w:rPr>
        <w:tab/>
        <w:t>(cc) todo ato que vise a impedir materialmente o exercício de inspeção do Grupo BID e dos direitos de auditoria previstos no parágrafo 1.1(f) a seguir; e</w:t>
      </w:r>
    </w:p>
    <w:p>
      <w:pPr>
        <w:pStyle w:val="Normal"/>
        <w:spacing w:before="0" w:after="120"/>
        <w:ind w:left="900" w:hanging="0"/>
        <w:jc w:val="both"/>
        <w:rPr>
          <w:rFonts w:ascii="Verdana" w:hAnsi="Verdana" w:eastAsia="Verdana" w:cs="Verdana"/>
          <w:sz w:val="18"/>
          <w:szCs w:val="18"/>
        </w:rPr>
      </w:pPr>
      <w:r>
        <w:rPr>
          <w:rFonts w:eastAsia="Verdana" w:cs="Verdana" w:ascii="Verdana" w:hAnsi="Verdana"/>
          <w:sz w:val="18"/>
          <w:szCs w:val="18"/>
        </w:rPr>
        <w:t>(vi) A “apropriação indevida” consiste no uso de fundos ou recursos do Grupo BID para um propósito indevido ou para um propósito não autorizado, cometido de forma intencional ou por negligência grave.</w:t>
      </w:r>
    </w:p>
    <w:p>
      <w:pPr>
        <w:pStyle w:val="Normal"/>
        <w:spacing w:before="0" w:after="120"/>
        <w:jc w:val="both"/>
        <w:rPr>
          <w:rFonts w:ascii="Verdana" w:hAnsi="Verdana" w:eastAsia="Verdana" w:cs="Verdana"/>
          <w:sz w:val="18"/>
          <w:szCs w:val="18"/>
        </w:rPr>
      </w:pPr>
      <w:r>
        <w:rPr>
          <w:rFonts w:eastAsia="Verdana" w:cs="Verdana" w:ascii="Verdana" w:hAnsi="Verdana"/>
          <w:sz w:val="18"/>
          <w:szCs w:val="18"/>
        </w:rPr>
        <w:t>(b) Se, em conformidade com os procedimentos de sanções do Banco, for determinado que em qualquer estágio da aquisição ou da execução de um contrato qualquer empresa, entidade ou pessoa física atuando como licitante ou participando de uma atividade financiada pelo Banco, incluindo, entre outros, solicitantes, licitantes, fornecedores, empreiteiros, consultores, pessoal, subempreiteiros, subconsultores, prestadores de serviços, concessionárias, Mutuários (incluindo os Beneficiários de doações), Agências Executoras ou Agências Contratantes (incluindo seus respectivos funcionários, empregados e agentes, quer sejam suas atribuições expressas ou implícitas), estiver envolvida em uma Prática Proibida em qualquer etapa da adjudicação ou execução de um contrato, o Banco poderá:</w:t>
      </w:r>
    </w:p>
    <w:p>
      <w:pPr>
        <w:pStyle w:val="Normal"/>
        <w:tabs>
          <w:tab w:val="clear" w:pos="720"/>
          <w:tab w:val="left" w:pos="203" w:leader="none"/>
        </w:tabs>
        <w:spacing w:before="0" w:after="120"/>
        <w:ind w:left="851" w:hanging="0"/>
        <w:jc w:val="both"/>
        <w:rPr>
          <w:rFonts w:ascii="Verdana" w:hAnsi="Verdana" w:eastAsia="Verdana" w:cs="Verdana"/>
          <w:sz w:val="18"/>
          <w:szCs w:val="18"/>
        </w:rPr>
      </w:pPr>
      <w:r>
        <w:rPr>
          <w:rFonts w:eastAsia="Verdana" w:cs="Verdana" w:ascii="Verdana" w:hAnsi="Verdana"/>
          <w:sz w:val="18"/>
          <w:szCs w:val="18"/>
        </w:rPr>
        <w:t>(i) não financiar nenhuma proposta de adjudicação de um contrato para obras, bens e serviços relacionados financiados pelo Banco;</w:t>
      </w:r>
    </w:p>
    <w:p>
      <w:pPr>
        <w:pStyle w:val="Normal"/>
        <w:tabs>
          <w:tab w:val="clear" w:pos="720"/>
          <w:tab w:val="left" w:pos="203" w:leader="none"/>
        </w:tabs>
        <w:spacing w:before="0" w:after="120"/>
        <w:ind w:left="851" w:hanging="0"/>
        <w:jc w:val="both"/>
        <w:rPr>
          <w:rFonts w:ascii="Verdana" w:hAnsi="Verdana" w:eastAsia="Verdana" w:cs="Verdana"/>
          <w:sz w:val="18"/>
          <w:szCs w:val="18"/>
        </w:rPr>
      </w:pPr>
      <w:r>
        <w:rPr>
          <w:rFonts w:eastAsia="Verdana" w:cs="Verdana" w:ascii="Verdana" w:hAnsi="Verdana"/>
          <w:sz w:val="18"/>
          <w:szCs w:val="18"/>
        </w:rPr>
        <w:t>(ii) suspender os desembolsos da operação se for determinado, em qualquer etapa, que um empregado, agente ou representante do Mutuário, do Órgão Executor ou da Agência Contratante estiver envolvido em uma Prática Proibida;</w:t>
      </w:r>
    </w:p>
    <w:p>
      <w:pPr>
        <w:pStyle w:val="Normal"/>
        <w:tabs>
          <w:tab w:val="clear" w:pos="720"/>
          <w:tab w:val="left" w:pos="203" w:leader="none"/>
        </w:tabs>
        <w:spacing w:before="0" w:after="120"/>
        <w:ind w:left="851" w:hanging="0"/>
        <w:jc w:val="both"/>
        <w:rPr>
          <w:rFonts w:ascii="Verdana" w:hAnsi="Verdana" w:eastAsia="Verdana" w:cs="Verdana"/>
          <w:sz w:val="18"/>
          <w:szCs w:val="18"/>
        </w:rPr>
      </w:pPr>
      <w:r>
        <w:rPr>
          <w:rFonts w:eastAsia="Verdana" w:cs="Verdana" w:ascii="Verdana" w:hAnsi="Verdana"/>
          <w:sz w:val="18"/>
          <w:szCs w:val="18"/>
        </w:rPr>
        <w:t>(iii) declarar uma aquisição viciada e cancelar e/ou declarar vencido antecipadamente o pagamento de parte de um empréstimo ou doação relacionada inequivocamente com um contrato, se houver evidências de que o representante do Mutuário ou Beneficiário de uma doação não tomou as medidas corretivas adequadas (incluindo, entre outras medidas, a notificação adequada ao Banco após tomar conhecimento da Prática Proibida) dentro de um período que o Banco considere razoável;</w:t>
      </w:r>
    </w:p>
    <w:p>
      <w:pPr>
        <w:pStyle w:val="Normal"/>
        <w:tabs>
          <w:tab w:val="clear" w:pos="720"/>
          <w:tab w:val="left" w:pos="203" w:leader="none"/>
        </w:tabs>
        <w:spacing w:before="0" w:after="120"/>
        <w:ind w:left="851" w:hanging="0"/>
        <w:jc w:val="both"/>
        <w:rPr>
          <w:rFonts w:ascii="Verdana" w:hAnsi="Verdana" w:eastAsia="Verdana" w:cs="Verdana"/>
          <w:sz w:val="18"/>
          <w:szCs w:val="18"/>
        </w:rPr>
      </w:pPr>
      <w:r>
        <w:rPr>
          <w:rFonts w:eastAsia="Verdana" w:cs="Verdana" w:ascii="Verdana" w:hAnsi="Verdana"/>
          <w:sz w:val="18"/>
          <w:szCs w:val="18"/>
        </w:rPr>
        <w:t>(iv) emitir advertência à empresa, entidade ou pessoa física com uma carta formal censurando sua conduta;</w:t>
      </w:r>
    </w:p>
    <w:p>
      <w:pPr>
        <w:pStyle w:val="Normal"/>
        <w:tabs>
          <w:tab w:val="clear" w:pos="720"/>
          <w:tab w:val="left" w:pos="203" w:leader="none"/>
        </w:tabs>
        <w:spacing w:before="0" w:after="120"/>
        <w:ind w:left="851" w:hanging="0"/>
        <w:jc w:val="both"/>
        <w:rPr>
          <w:rFonts w:ascii="Verdana" w:hAnsi="Verdana" w:eastAsia="Verdana" w:cs="Verdana"/>
          <w:sz w:val="18"/>
          <w:szCs w:val="18"/>
        </w:rPr>
      </w:pPr>
      <w:r>
        <w:rPr>
          <w:rFonts w:eastAsia="Verdana" w:cs="Verdana" w:ascii="Verdana" w:hAnsi="Verdana"/>
          <w:sz w:val="18"/>
          <w:szCs w:val="18"/>
        </w:rPr>
        <w:t xml:space="preserve">(v) declarar que uma empresa, entidade ou pessoa física é inelegível, permanentemente ou por um período determinado, para: (i) adjudicação de contratos ou participação em atividades financiadas pelo Banco; e (ii) designação </w:t>
      </w:r>
      <w:r>
        <w:rPr>
          <w:rStyle w:val="Ncoradanotaderodap"/>
          <w:rFonts w:eastAsia="Verdana" w:cs="Verdana" w:ascii="Verdana" w:hAnsi="Verdana"/>
          <w:sz w:val="18"/>
          <w:szCs w:val="18"/>
          <w:vertAlign w:val="superscript"/>
        </w:rPr>
        <w:footnoteReference w:id="4"/>
      </w:r>
      <w:r>
        <w:rPr>
          <w:rFonts w:eastAsia="Verdana" w:cs="Verdana" w:ascii="Verdana" w:hAnsi="Verdana"/>
          <w:sz w:val="18"/>
          <w:szCs w:val="18"/>
        </w:rPr>
        <w:t xml:space="preserve"> como subconsultor, subempreiteiro ou fornecedor de bens ou serviços por outra empresa elegível a qual tenha sido adjudicado um contrato para executar atividades financiadas pelo Banco;</w:t>
      </w:r>
    </w:p>
    <w:p>
      <w:pPr>
        <w:pStyle w:val="Normal"/>
        <w:tabs>
          <w:tab w:val="clear" w:pos="720"/>
          <w:tab w:val="left" w:pos="203" w:leader="none"/>
        </w:tabs>
        <w:spacing w:before="0" w:after="120"/>
        <w:ind w:left="851" w:hanging="0"/>
        <w:jc w:val="both"/>
        <w:rPr>
          <w:rFonts w:ascii="Verdana" w:hAnsi="Verdana" w:eastAsia="Verdana" w:cs="Verdana"/>
          <w:sz w:val="18"/>
          <w:szCs w:val="18"/>
        </w:rPr>
      </w:pPr>
      <w:r>
        <w:rPr>
          <w:rFonts w:eastAsia="Verdana" w:cs="Verdana" w:ascii="Verdana" w:hAnsi="Verdana"/>
          <w:sz w:val="18"/>
          <w:szCs w:val="18"/>
        </w:rPr>
        <w:t>(vi) encaminhar o assunto às autoridades competentes encarregadas de fazer cumprir a lei; e/ou;</w:t>
      </w:r>
    </w:p>
    <w:p>
      <w:pPr>
        <w:pStyle w:val="Normal"/>
        <w:tabs>
          <w:tab w:val="clear" w:pos="720"/>
          <w:tab w:val="left" w:pos="203" w:leader="none"/>
        </w:tabs>
        <w:spacing w:before="0" w:after="120"/>
        <w:ind w:left="851" w:hanging="0"/>
        <w:jc w:val="both"/>
        <w:rPr>
          <w:rFonts w:ascii="Verdana" w:hAnsi="Verdana" w:eastAsia="Verdana" w:cs="Verdana"/>
          <w:sz w:val="18"/>
          <w:szCs w:val="18"/>
        </w:rPr>
      </w:pPr>
      <w:r>
        <w:rPr>
          <w:rFonts w:eastAsia="Verdana" w:cs="Verdana" w:ascii="Verdana" w:hAnsi="Verdana"/>
          <w:sz w:val="18"/>
          <w:szCs w:val="18"/>
        </w:rPr>
        <w:t>(vii) impor outras sanções que julgar apropriadas às circunstâncias do caso, inclusive multas que representem para o Banco um reembolso dos custos referentes às investigações e ao processo.  Essas sanções podem ser impostas adicionalmente ou em substituição às sanções acima referidas.</w:t>
      </w:r>
    </w:p>
    <w:p>
      <w:pPr>
        <w:pStyle w:val="Normal"/>
        <w:spacing w:before="0" w:after="120"/>
        <w:jc w:val="both"/>
        <w:rPr>
          <w:rFonts w:ascii="Verdana" w:hAnsi="Verdana" w:eastAsia="Verdana" w:cs="Verdana"/>
          <w:sz w:val="18"/>
          <w:szCs w:val="18"/>
        </w:rPr>
      </w:pPr>
      <w:r>
        <w:rPr>
          <w:rFonts w:eastAsia="Verdana" w:cs="Verdana" w:ascii="Verdana" w:hAnsi="Verdana"/>
          <w:sz w:val="18"/>
          <w:szCs w:val="18"/>
        </w:rPr>
        <w:t>(c) O disposto nos parágrafos 1.1 (b) (i) e (ii) se aplicará também nos casos em que as partes tenham sido temporariamente declaradas inelegíveis para a adjudicação de novos contratos, na pendência da adoção de uma decisão definitiva em um processo de sanção ou qualquer outra resolução.</w:t>
      </w:r>
    </w:p>
    <w:p>
      <w:pPr>
        <w:pStyle w:val="Normal"/>
        <w:spacing w:before="0" w:after="120"/>
        <w:jc w:val="both"/>
        <w:rPr>
          <w:rFonts w:ascii="Verdana" w:hAnsi="Verdana" w:eastAsia="Verdana" w:cs="Verdana"/>
          <w:sz w:val="18"/>
          <w:szCs w:val="18"/>
        </w:rPr>
      </w:pPr>
      <w:r>
        <w:rPr>
          <w:rFonts w:eastAsia="Verdana" w:cs="Verdana" w:ascii="Verdana" w:hAnsi="Verdana"/>
          <w:sz w:val="18"/>
          <w:szCs w:val="18"/>
        </w:rPr>
        <w:t>(d) A imposição de qualquer medida que seja tomada pelo Banco conforme as disposições anteriormente referidas será de caráter público.</w:t>
      </w:r>
    </w:p>
    <w:p>
      <w:pPr>
        <w:pStyle w:val="Normal"/>
        <w:spacing w:before="0" w:after="120"/>
        <w:jc w:val="both"/>
        <w:rPr>
          <w:rFonts w:ascii="Verdana" w:hAnsi="Verdana" w:eastAsia="Verdana" w:cs="Verdana"/>
          <w:sz w:val="18"/>
          <w:szCs w:val="18"/>
        </w:rPr>
      </w:pPr>
      <w:r>
        <w:rPr>
          <w:rFonts w:eastAsia="Verdana" w:cs="Verdana" w:ascii="Verdana" w:hAnsi="Verdana"/>
          <w:sz w:val="18"/>
          <w:szCs w:val="18"/>
        </w:rPr>
        <w:t>(e) Além disso, qualquer empresa, entidade ou pessoa física atuando como licitante ou participando de uma atividade financiada pelo Banco, incluindo, entre outros, solicitantes, licitantes, fornecedores de bens, empreiteiros, consultores, pessoal, subempreiteiros, subconsultores, prestadores de serviços, concessionárias, Mutuários (incluindo os Beneficiários de doações), Agências Executoras ou Agências Contratantes (incluindo seus respectivos funcionários, empregados e representantes, quer suas atribuições sejam expressas ou implícitas), poderá ser sujeita a sanções, em conformidade com o disposto nos acordos que o Banco tenha celebrado com outra instituição financeira internacional com respeito ao reconhecimento recíproco de decisões de inelegibilidade.  Para fins do disposto neste parágrafo, o termo “sanção” refere-se a toda inelegibilidade permanente, imposição de condições para a participação em futuros contratos ou adoção pública de medidas em resposta a uma contravenção às regras vigentes de uma IFI aplicável à resolução de denúncias de Práticas Proibidas;</w:t>
      </w:r>
    </w:p>
    <w:p>
      <w:pPr>
        <w:pStyle w:val="Normal"/>
        <w:spacing w:before="0" w:after="120"/>
        <w:jc w:val="both"/>
        <w:rPr>
          <w:rFonts w:ascii="Verdana" w:hAnsi="Verdana" w:eastAsia="Verdana" w:cs="Verdana"/>
          <w:sz w:val="18"/>
          <w:szCs w:val="18"/>
        </w:rPr>
      </w:pPr>
      <w:r>
        <w:rPr>
          <w:rFonts w:eastAsia="Verdana" w:cs="Verdana" w:ascii="Verdana" w:hAnsi="Verdana"/>
          <w:sz w:val="18"/>
          <w:szCs w:val="18"/>
        </w:rPr>
        <w:t>(f) O Banco exige que os solicitantes, concorrentes, fornecedores e seus agentes, empreiteiros, consultores, pessoal, subempreiteiros, prestadores de serviços e concessionárias permitam que o Banco revise quaisquer contas, registros e outros documentos relativos à apresentação de propostas e a execução do contrato e os submeta a uma auditoria por auditores designados pelo Banco.  Solicitantes, concorrentes, fornecedores de bens e seus agentes, empreiteiros, consultores, pessoal, subempreiteiros, subconsultores, prestadores de serviços e concessionárias deverão prestar plena assistência ao Banco em sua investigação. O Banco requer ainda que todos os solicitantes, concorrentes, fornecedores de bens e seus agentes, empreiteiros, consultores, pessoal, subempreiteiros, subconsultores, prestadores de serviços e concessionárias: (i) mantenham todos os documentos e registros referentes às atividades financiadas pelo Banco por um período de sete (7) anos após a conclusão do trabalho contemplado no respectivo contrato; e (ii) forneçam qualquer documento necessário à investigação de denúncias de Práticas Proibidas e assegurem-se de que os empregados ou representantes dos solicitantes, concorrentes, fornecedores de bens e seus representantes, empreiteiros, consultores, pessoal, subempreiteiros, subconsultores, prestadores de serviços e concessionárias que tenham conhecimento das atividades financiadas pelo Banco estejam disponíveis para responder às consultas relacionadas com a investigação provenientes de pessoal do Banco ou de qualquer investigador, agente, auditor ou consultor devidamente designado.  Caso o solicitante, concorrente, fornecedor e seu agente, empreiteiro, consultor, pessoal, subempreiteiro, subconsultor, prestador de serviços ou concessionária se negue a cooperar ou descumpra o exigido pelo Banco, ou de qualquer outra forma crie obstáculos à investigação por parte do Banco, o Banco, a seu critério, poderá tomar medidas apropriadas contra o solicitante, concorrente, fornecedor e seu agente, empreiteiro, consultor, pessoal, subempreiteiro, subconsultor, prestador de serviços ou concessionária.</w:t>
      </w:r>
    </w:p>
    <w:p>
      <w:pPr>
        <w:pStyle w:val="Normal"/>
        <w:spacing w:before="0" w:after="120"/>
        <w:jc w:val="both"/>
        <w:rPr>
          <w:rFonts w:ascii="Verdana" w:hAnsi="Verdana" w:eastAsia="Verdana" w:cs="Verdana"/>
          <w:sz w:val="18"/>
          <w:szCs w:val="18"/>
        </w:rPr>
      </w:pPr>
      <w:r>
        <w:rPr>
          <w:rFonts w:eastAsia="Verdana" w:cs="Verdana" w:ascii="Verdana" w:hAnsi="Verdana"/>
          <w:sz w:val="18"/>
          <w:szCs w:val="18"/>
        </w:rPr>
        <w:t>(g) Se um Mutuário fizer aquisições de bens, obras, serviços que forem ou não de consultoria diretamente de uma agência especializada, todas as disposições relativas às sanções e Práticas Proibidas serão aplicadas integralmente aos solicitantes, concorrentes, fornecedores e seus representantes, empreiteiros, consultores, pessoal, subempreiteiros, subconsultores, prestadores de serviços e concessionárias (incluindo seus respectivos funcionários, empregados e representantes, quer suas atribuições sejam expressas ou implícitas), ou qualquer outra entidade que tenha firmado contratos com essa agência especializada para fornecer tais bens, obras, serviços que forem ou não de consultoria, em conformidade com as atividades financiadas pelo Banco.  O Banco se reserva o direito de obrigar o Mutuário a lançar mão de recursos tais como a suspensão ou a rescisão. As agências especializadas deverão consultar a lista de empresas ou pessoas físicas declaradas temporária ou permanentemente inelegíveis pelo Banco.  Caso alguma agência especializada celebre um contrato ou uma ordem de compra com uma empresa ou uma pessoa física declarada temporária ou permanentemente inelegível pelo Banco, o Banco não financiará os gastos correlatos e poderá tomar as demais medidas que considere convenientes.</w:t>
      </w:r>
    </w:p>
    <w:p>
      <w:pPr>
        <w:pStyle w:val="Normal"/>
        <w:widowControl w:val="false"/>
        <w:jc w:val="both"/>
        <w:rPr>
          <w:rFonts w:ascii="Verdana" w:hAnsi="Verdana" w:eastAsia="Verdana" w:cs="Verdana"/>
          <w:sz w:val="18"/>
          <w:szCs w:val="18"/>
        </w:rPr>
      </w:pPr>
      <w:r>
        <w:rPr>
          <w:rFonts w:eastAsia="Verdana" w:cs="Verdana" w:ascii="Verdana" w:hAnsi="Verdana"/>
          <w:sz w:val="18"/>
          <w:szCs w:val="18"/>
        </w:rPr>
      </w:r>
    </w:p>
    <w:p>
      <w:pPr>
        <w:pStyle w:val="Normal"/>
        <w:widowControl w:val="false"/>
        <w:jc w:val="both"/>
        <w:rPr>
          <w:rFonts w:ascii="Verdana" w:hAnsi="Verdana" w:eastAsia="Verdana" w:cs="Verdana"/>
          <w:sz w:val="18"/>
          <w:szCs w:val="18"/>
        </w:rPr>
      </w:pPr>
      <w:r>
        <w:rPr>
          <w:rFonts w:eastAsia="Verdana" w:cs="Verdana" w:ascii="Verdana" w:hAnsi="Verdana"/>
          <w:sz w:val="18"/>
          <w:szCs w:val="18"/>
        </w:rPr>
        <w:t>1.2 Os Concorrentes ao apresentar uma proposta declaram e garantem que:</w:t>
      </w:r>
    </w:p>
    <w:p>
      <w:pPr>
        <w:pStyle w:val="Normal"/>
        <w:widowControl w:val="false"/>
        <w:jc w:val="both"/>
        <w:rPr>
          <w:rFonts w:ascii="Verdana" w:hAnsi="Verdana" w:eastAsia="Verdana" w:cs="Verdana"/>
          <w:sz w:val="18"/>
          <w:szCs w:val="18"/>
        </w:rPr>
      </w:pPr>
      <w:r>
        <w:rPr>
          <w:rFonts w:eastAsia="Verdana" w:cs="Verdana" w:ascii="Verdana" w:hAnsi="Verdana"/>
          <w:sz w:val="18"/>
          <w:szCs w:val="18"/>
        </w:rPr>
      </w:r>
    </w:p>
    <w:p>
      <w:pPr>
        <w:pStyle w:val="Normal"/>
        <w:spacing w:before="0" w:after="120"/>
        <w:jc w:val="both"/>
        <w:rPr>
          <w:rFonts w:ascii="Verdana" w:hAnsi="Verdana" w:eastAsia="Verdana" w:cs="Verdana"/>
          <w:sz w:val="18"/>
          <w:szCs w:val="18"/>
        </w:rPr>
      </w:pPr>
      <w:r>
        <w:rPr>
          <w:rFonts w:eastAsia="Verdana" w:cs="Verdana" w:ascii="Verdana" w:hAnsi="Verdana"/>
          <w:sz w:val="18"/>
          <w:szCs w:val="18"/>
        </w:rPr>
        <w:t>(i) leram e entenderam a proibição sobre atos de fraude e corrupção disposta pelo Banco e se obrigam a observar as normas pertinentes;</w:t>
      </w:r>
    </w:p>
    <w:p>
      <w:pPr>
        <w:pStyle w:val="Normal"/>
        <w:spacing w:before="0" w:after="120"/>
        <w:jc w:val="both"/>
        <w:rPr>
          <w:rFonts w:ascii="Verdana" w:hAnsi="Verdana" w:eastAsia="Verdana" w:cs="Verdana"/>
          <w:sz w:val="18"/>
          <w:szCs w:val="18"/>
        </w:rPr>
      </w:pPr>
      <w:r>
        <w:rPr>
          <w:rFonts w:eastAsia="Verdana" w:cs="Verdana" w:ascii="Verdana" w:hAnsi="Verdana"/>
          <w:sz w:val="18"/>
          <w:szCs w:val="18"/>
        </w:rPr>
        <w:t>(ii) não incorreram em nenhuma Prática Proibida descrita neste documento;</w:t>
      </w:r>
    </w:p>
    <w:p>
      <w:pPr>
        <w:pStyle w:val="Normal"/>
        <w:spacing w:before="0" w:after="120"/>
        <w:jc w:val="both"/>
        <w:rPr>
          <w:rFonts w:ascii="Verdana" w:hAnsi="Verdana" w:eastAsia="Verdana" w:cs="Verdana"/>
          <w:sz w:val="18"/>
          <w:szCs w:val="18"/>
        </w:rPr>
      </w:pPr>
      <w:r>
        <w:rPr>
          <w:rFonts w:eastAsia="Verdana" w:cs="Verdana" w:ascii="Verdana" w:hAnsi="Verdana"/>
          <w:sz w:val="18"/>
          <w:szCs w:val="18"/>
        </w:rPr>
        <w:t>(iii) não adulteraram nem ocultaram nenhum fato substancial durante os processos de seleção, negociação e execução do contrato;</w:t>
      </w:r>
    </w:p>
    <w:p>
      <w:pPr>
        <w:pStyle w:val="Normal"/>
        <w:spacing w:before="0" w:after="120"/>
        <w:jc w:val="both"/>
        <w:rPr>
          <w:rFonts w:ascii="Verdana" w:hAnsi="Verdana" w:eastAsia="Verdana" w:cs="Verdana"/>
          <w:sz w:val="18"/>
          <w:szCs w:val="18"/>
        </w:rPr>
      </w:pPr>
      <w:r>
        <w:rPr>
          <w:rFonts w:eastAsia="Verdana" w:cs="Verdana" w:ascii="Verdana" w:hAnsi="Verdana"/>
          <w:sz w:val="18"/>
          <w:szCs w:val="18"/>
        </w:rPr>
        <w:t>(iv) nem eles nem os seus agentes, pessoal, subempreiteiros, subconsultores ou quaisquer de seus diretores, funcionários ou acionistas principais foram declarados inelegíveis pelo Banco ou outra Instituição Financeira Internacional (IFI) e sujeito às disposições dos acordos celebrados pelo Banco relativos ao reconhecimento mútuo de sanções à adjudicação de contratos financiados pelo Banco, nem foram declarados culpados de delitos vinculados a práticas proibidas;</w:t>
      </w:r>
    </w:p>
    <w:p>
      <w:pPr>
        <w:pStyle w:val="Normal"/>
        <w:spacing w:before="0" w:after="120"/>
        <w:jc w:val="both"/>
        <w:rPr>
          <w:rFonts w:ascii="Verdana" w:hAnsi="Verdana" w:eastAsia="Verdana" w:cs="Verdana"/>
          <w:sz w:val="18"/>
          <w:szCs w:val="18"/>
        </w:rPr>
      </w:pPr>
      <w:r>
        <w:rPr>
          <w:rFonts w:eastAsia="Verdana" w:cs="Verdana" w:ascii="Verdana" w:hAnsi="Verdana"/>
          <w:sz w:val="18"/>
          <w:szCs w:val="18"/>
        </w:rPr>
        <w:t>(v) nenhum de seus diretores, funcionários ou acionistas principais tenha sido diretor, funcionário ou acionista principal de qualquer outra empresa ou entidade que tenha sido declarada inelegível pelo Banco ou outra Instituição Financeira Internacional (IFI) e sujeito às disposições dos acordos celebrados pelo Banco relativos ao reconhecimento mútuo de sanções à adjudicação de contratos financiados pelo Banco ou tenha sido declarado culpado de um delito envolvendo Práticas Proibidas;</w:t>
      </w:r>
    </w:p>
    <w:p>
      <w:pPr>
        <w:pStyle w:val="Normal"/>
        <w:spacing w:before="0" w:after="120"/>
        <w:jc w:val="both"/>
        <w:rPr>
          <w:rFonts w:ascii="Verdana" w:hAnsi="Verdana" w:eastAsia="Verdana" w:cs="Verdana"/>
          <w:sz w:val="18"/>
          <w:szCs w:val="18"/>
        </w:rPr>
      </w:pPr>
      <w:r>
        <w:rPr>
          <w:rFonts w:eastAsia="Verdana" w:cs="Verdana" w:ascii="Verdana" w:hAnsi="Verdana"/>
          <w:sz w:val="18"/>
          <w:szCs w:val="18"/>
        </w:rPr>
        <w:t>(vi) declararam todas as comissões, honorários de representantes ou pagamentos para participar de atividades financiadas pelo Banco; e</w:t>
      </w:r>
    </w:p>
    <w:p>
      <w:pPr>
        <w:pStyle w:val="Normal"/>
        <w:spacing w:before="0" w:after="120"/>
        <w:jc w:val="both"/>
        <w:rPr>
          <w:rFonts w:ascii="Verdana" w:hAnsi="Verdana" w:eastAsia="Verdana" w:cs="Verdana"/>
          <w:sz w:val="18"/>
          <w:szCs w:val="18"/>
        </w:rPr>
      </w:pPr>
      <w:r>
        <w:rPr>
          <w:rFonts w:eastAsia="Verdana" w:cs="Verdana" w:ascii="Verdana" w:hAnsi="Verdana"/>
          <w:sz w:val="18"/>
          <w:szCs w:val="18"/>
        </w:rPr>
        <w:t>(vii) reconhecem que o descumprimento de qualquer destas garantias constitui fundamento para a imposição pelo Banco de uma ou mais medidas descritas na Cláusula 1.1 (b).</w:t>
      </w:r>
    </w:p>
    <w:p>
      <w:pPr>
        <w:pStyle w:val="Normal"/>
        <w:spacing w:before="0" w:after="120"/>
        <w:rPr>
          <w:rFonts w:ascii="Verdana" w:hAnsi="Verdana" w:eastAsia="Verdana" w:cs="Verdana"/>
          <w:sz w:val="18"/>
          <w:szCs w:val="18"/>
        </w:rPr>
      </w:pPr>
      <w:r>
        <w:rPr>
          <w:rFonts w:eastAsia="Verdana" w:cs="Verdana" w:ascii="Verdana" w:hAnsi="Verdana"/>
          <w:sz w:val="18"/>
          <w:szCs w:val="18"/>
        </w:rPr>
      </w:r>
    </w:p>
    <w:p>
      <w:pPr>
        <w:pStyle w:val="Normal"/>
        <w:spacing w:before="0" w:after="120"/>
        <w:rPr>
          <w:rFonts w:ascii="Verdana" w:hAnsi="Verdana" w:eastAsia="Verdana" w:cs="Verdana"/>
          <w:sz w:val="18"/>
          <w:szCs w:val="18"/>
        </w:rPr>
      </w:pPr>
      <w:r>
        <w:rPr>
          <w:rFonts w:eastAsia="Verdana" w:cs="Verdana" w:ascii="Verdana" w:hAnsi="Verdana"/>
          <w:sz w:val="18"/>
          <w:szCs w:val="18"/>
        </w:rPr>
      </w:r>
    </w:p>
    <w:p>
      <w:pPr>
        <w:pStyle w:val="Normal"/>
        <w:shd w:val="clear" w:color="auto" w:fill="C0C0C0"/>
        <w:jc w:val="center"/>
        <w:rPr>
          <w:rFonts w:ascii="Verdana" w:hAnsi="Verdana" w:eastAsia="Verdana" w:cs="Verdana"/>
          <w:b/>
          <w:b/>
          <w:sz w:val="18"/>
          <w:szCs w:val="18"/>
        </w:rPr>
      </w:pPr>
      <w:r>
        <w:rPr>
          <w:rFonts w:eastAsia="Verdana" w:cs="Verdana" w:ascii="Verdana" w:hAnsi="Verdana"/>
          <w:b/>
          <w:sz w:val="18"/>
          <w:szCs w:val="18"/>
        </w:rPr>
        <w:t>ADENDO II AO CONTRATO – PAÍSES ELEGÍVEIS</w:t>
      </w:r>
    </w:p>
    <w:p>
      <w:pPr>
        <w:pStyle w:val="Normal"/>
        <w:rPr>
          <w:rFonts w:ascii="Verdana" w:hAnsi="Verdana" w:eastAsia="Verdana" w:cs="Verdana"/>
          <w:sz w:val="18"/>
          <w:szCs w:val="18"/>
        </w:rPr>
      </w:pPr>
      <w:r>
        <w:rPr>
          <w:rFonts w:eastAsia="Verdana" w:cs="Verdana" w:ascii="Verdana" w:hAnsi="Verdana"/>
          <w:sz w:val="18"/>
          <w:szCs w:val="18"/>
        </w:rPr>
      </w:r>
    </w:p>
    <w:p>
      <w:pPr>
        <w:pStyle w:val="Normal"/>
        <w:rPr>
          <w:rFonts w:ascii="Verdana" w:hAnsi="Verdana" w:eastAsia="Verdana" w:cs="Verdana"/>
          <w:sz w:val="18"/>
          <w:szCs w:val="18"/>
        </w:rPr>
      </w:pPr>
      <w:r>
        <w:rPr>
          <w:rFonts w:eastAsia="Verdana" w:cs="Verdana" w:ascii="Verdana" w:hAnsi="Verdana"/>
          <w:sz w:val="18"/>
          <w:szCs w:val="18"/>
        </w:rPr>
      </w:r>
    </w:p>
    <w:p>
      <w:pPr>
        <w:pStyle w:val="Normal"/>
        <w:widowControl w:val="false"/>
        <w:jc w:val="center"/>
        <w:rPr>
          <w:rFonts w:ascii="Verdana" w:hAnsi="Verdana" w:eastAsia="Verdana" w:cs="Verdana"/>
          <w:b/>
          <w:b/>
          <w:sz w:val="18"/>
          <w:szCs w:val="18"/>
        </w:rPr>
      </w:pPr>
      <w:r>
        <w:rPr>
          <w:rFonts w:eastAsia="Verdana" w:cs="Verdana" w:ascii="Verdana" w:hAnsi="Verdana"/>
          <w:b/>
          <w:sz w:val="18"/>
          <w:szCs w:val="18"/>
        </w:rPr>
      </w:r>
    </w:p>
    <w:p>
      <w:pPr>
        <w:pStyle w:val="Normal"/>
        <w:widowControl w:val="false"/>
        <w:jc w:val="center"/>
        <w:rPr>
          <w:rFonts w:ascii="Verdana" w:hAnsi="Verdana" w:eastAsia="Verdana" w:cs="Verdana"/>
          <w:sz w:val="18"/>
          <w:szCs w:val="18"/>
        </w:rPr>
      </w:pPr>
      <w:r>
        <w:rPr>
          <w:rFonts w:eastAsia="Verdana" w:cs="Verdana" w:ascii="Verdana" w:hAnsi="Verdana"/>
          <w:b/>
          <w:sz w:val="18"/>
          <w:szCs w:val="18"/>
        </w:rPr>
        <w:t>Elegibilidade para Provisão de Bens, Obras e Serviços</w:t>
      </w:r>
    </w:p>
    <w:p>
      <w:pPr>
        <w:pStyle w:val="Normal"/>
        <w:widowControl w:val="false"/>
        <w:jc w:val="center"/>
        <w:rPr>
          <w:rFonts w:ascii="Verdana" w:hAnsi="Verdana" w:eastAsia="Verdana" w:cs="Verdana"/>
          <w:sz w:val="18"/>
          <w:szCs w:val="18"/>
        </w:rPr>
      </w:pPr>
      <w:r>
        <w:rPr>
          <w:rFonts w:eastAsia="Verdana" w:cs="Verdana" w:ascii="Verdana" w:hAnsi="Verdana"/>
          <w:b/>
          <w:sz w:val="18"/>
          <w:szCs w:val="18"/>
        </w:rPr>
        <w:t>em Contratos Financiados pelo Banco</w:t>
      </w:r>
    </w:p>
    <w:p>
      <w:pPr>
        <w:pStyle w:val="Normal"/>
        <w:widowControl w:val="false"/>
        <w:jc w:val="center"/>
        <w:rPr>
          <w:rFonts w:ascii="Verdana" w:hAnsi="Verdana" w:eastAsia="Verdana" w:cs="Verdana"/>
          <w:sz w:val="18"/>
          <w:szCs w:val="18"/>
        </w:rPr>
      </w:pPr>
      <w:r>
        <w:rPr>
          <w:rFonts w:eastAsia="Verdana" w:cs="Verdana" w:ascii="Verdana" w:hAnsi="Verdana"/>
          <w:sz w:val="18"/>
          <w:szCs w:val="18"/>
        </w:rPr>
      </w:r>
    </w:p>
    <w:p>
      <w:pPr>
        <w:pStyle w:val="Normal"/>
        <w:widowControl w:val="false"/>
        <w:jc w:val="center"/>
        <w:rPr>
          <w:rFonts w:ascii="Verdana" w:hAnsi="Verdana" w:eastAsia="Verdana" w:cs="Verdana"/>
          <w:sz w:val="18"/>
          <w:szCs w:val="18"/>
        </w:rPr>
      </w:pPr>
      <w:r>
        <w:rPr>
          <w:rFonts w:eastAsia="Verdana" w:cs="Verdana" w:ascii="Verdana" w:hAnsi="Verdana"/>
          <w:sz w:val="18"/>
          <w:szCs w:val="18"/>
        </w:rPr>
      </w:r>
    </w:p>
    <w:p>
      <w:pPr>
        <w:pStyle w:val="Normal"/>
        <w:widowControl w:val="false"/>
        <w:jc w:val="both"/>
        <w:rPr>
          <w:rFonts w:ascii="Verdana" w:hAnsi="Verdana" w:eastAsia="Verdana" w:cs="Verdana"/>
          <w:sz w:val="18"/>
          <w:szCs w:val="18"/>
        </w:rPr>
      </w:pPr>
      <w:r>
        <w:rPr>
          <w:rFonts w:eastAsia="Verdana" w:cs="Verdana" w:ascii="Verdana" w:hAnsi="Verdana"/>
          <w:sz w:val="18"/>
          <w:szCs w:val="18"/>
        </w:rPr>
        <w:t xml:space="preserve">Nota: </w:t>
      </w:r>
      <w:r>
        <w:rPr>
          <w:rFonts w:eastAsia="Verdana" w:cs="Verdana" w:ascii="Verdana" w:hAnsi="Verdana"/>
          <w:i/>
          <w:sz w:val="18"/>
          <w:szCs w:val="18"/>
        </w:rPr>
        <w:t>O termo “Banco” usado neste documento inclui o BID, o Fumin e outros fundos administrados por ele.</w:t>
      </w:r>
    </w:p>
    <w:p>
      <w:pPr>
        <w:pStyle w:val="Normal"/>
        <w:widowControl w:val="false"/>
        <w:jc w:val="both"/>
        <w:rPr>
          <w:rFonts w:ascii="Verdana" w:hAnsi="Verdana" w:eastAsia="Verdana" w:cs="Verdana"/>
          <w:sz w:val="18"/>
          <w:szCs w:val="18"/>
        </w:rPr>
      </w:pPr>
      <w:r>
        <w:rPr>
          <w:rFonts w:eastAsia="Verdana" w:cs="Verdana" w:ascii="Verdana" w:hAnsi="Verdana"/>
          <w:sz w:val="18"/>
          <w:szCs w:val="18"/>
        </w:rPr>
        <w:t>.......................................</w:t>
      </w:r>
    </w:p>
    <w:p>
      <w:pPr>
        <w:pStyle w:val="Normal"/>
        <w:widowControl w:val="false"/>
        <w:jc w:val="both"/>
        <w:rPr>
          <w:rFonts w:ascii="Verdana" w:hAnsi="Verdana" w:eastAsia="Verdana" w:cs="Verdana"/>
          <w:sz w:val="18"/>
          <w:szCs w:val="18"/>
        </w:rPr>
      </w:pPr>
      <w:r>
        <w:rPr>
          <w:rFonts w:eastAsia="Verdana" w:cs="Verdana" w:ascii="Verdana" w:hAnsi="Verdana"/>
          <w:sz w:val="18"/>
          <w:szCs w:val="18"/>
        </w:rPr>
        <w:tab/>
      </w:r>
    </w:p>
    <w:p>
      <w:pPr>
        <w:pStyle w:val="Normal"/>
        <w:widowControl w:val="false"/>
        <w:jc w:val="both"/>
        <w:rPr>
          <w:rFonts w:ascii="Verdana" w:hAnsi="Verdana" w:eastAsia="Verdana" w:cs="Verdana"/>
          <w:sz w:val="18"/>
          <w:szCs w:val="18"/>
        </w:rPr>
      </w:pPr>
      <w:r>
        <w:rPr>
          <w:rFonts w:eastAsia="Verdana" w:cs="Verdana" w:ascii="Verdana" w:hAnsi="Verdana"/>
          <w:sz w:val="18"/>
          <w:szCs w:val="18"/>
        </w:rPr>
      </w:r>
    </w:p>
    <w:p>
      <w:pPr>
        <w:pStyle w:val="Normal"/>
        <w:spacing w:before="120" w:after="120"/>
        <w:jc w:val="both"/>
        <w:rPr>
          <w:rFonts w:ascii="Verdana" w:hAnsi="Verdana" w:eastAsia="Verdana" w:cs="Verdana"/>
          <w:sz w:val="18"/>
          <w:szCs w:val="18"/>
        </w:rPr>
      </w:pPr>
      <w:r>
        <w:rPr>
          <w:rFonts w:eastAsia="Verdana" w:cs="Verdana" w:ascii="Verdana" w:hAnsi="Verdana"/>
          <w:b/>
          <w:i/>
          <w:sz w:val="18"/>
          <w:szCs w:val="18"/>
        </w:rPr>
        <w:t>1) Países Membros quando o financiamento provém do Banco Interamericano de Desenvolvimento</w:t>
      </w:r>
      <w:r>
        <w:rPr>
          <w:rFonts w:eastAsia="Verdana" w:cs="Verdana" w:ascii="Verdana" w:hAnsi="Verdana"/>
          <w:i/>
          <w:sz w:val="18"/>
          <w:szCs w:val="18"/>
        </w:rPr>
        <w:t>.</w:t>
      </w:r>
    </w:p>
    <w:p>
      <w:pPr>
        <w:pStyle w:val="Normal"/>
        <w:numPr>
          <w:ilvl w:val="2"/>
          <w:numId w:val="5"/>
        </w:numPr>
        <w:suppressAutoHyphens w:val="true"/>
        <w:spacing w:before="120" w:after="120"/>
        <w:jc w:val="both"/>
        <w:rPr>
          <w:rFonts w:ascii="Verdana" w:hAnsi="Verdana" w:eastAsia="Verdana" w:cs="Verdana"/>
          <w:sz w:val="18"/>
          <w:szCs w:val="18"/>
        </w:rPr>
      </w:pPr>
      <w:r>
        <w:rPr>
          <w:rFonts w:eastAsia="Verdana" w:cs="Verdana" w:ascii="Verdana" w:hAnsi="Verdana"/>
          <w:b/>
          <w:i/>
          <w:sz w:val="18"/>
          <w:szCs w:val="18"/>
        </w:rPr>
        <w:t>Países Mutuários:</w:t>
      </w:r>
    </w:p>
    <w:p>
      <w:pPr>
        <w:pStyle w:val="Normal"/>
        <w:numPr>
          <w:ilvl w:val="3"/>
          <w:numId w:val="5"/>
        </w:numPr>
        <w:suppressAutoHyphens w:val="true"/>
        <w:spacing w:before="120" w:after="120"/>
        <w:jc w:val="both"/>
        <w:rPr>
          <w:rFonts w:ascii="Verdana" w:hAnsi="Verdana" w:eastAsia="Verdana" w:cs="Verdana"/>
          <w:sz w:val="18"/>
          <w:szCs w:val="18"/>
        </w:rPr>
      </w:pPr>
      <w:r>
        <w:rPr>
          <w:rFonts w:eastAsia="Verdana" w:cs="Verdana" w:ascii="Verdana" w:hAnsi="Verdana"/>
          <w:i/>
          <w:sz w:val="18"/>
          <w:szCs w:val="18"/>
        </w:rPr>
        <w:t>Argentina, Bahamas, Barbados, Belize, Bolívia, Brasil, Chile, Colômbia, Costa Rica, Equador, El Salvador, Guatemala, Guiana, Haiti, Honduras, Jamaica, México, Nicarágua, Panamá, Paraguai, Peru, República Dominicana, Suriname, Trinidad e Tobago, Uruguai e Venezuela.</w:t>
      </w:r>
    </w:p>
    <w:p>
      <w:pPr>
        <w:pStyle w:val="Normal"/>
        <w:numPr>
          <w:ilvl w:val="2"/>
          <w:numId w:val="5"/>
        </w:numPr>
        <w:suppressAutoHyphens w:val="true"/>
        <w:spacing w:before="120" w:after="120"/>
        <w:jc w:val="both"/>
        <w:rPr>
          <w:rFonts w:ascii="Verdana" w:hAnsi="Verdana" w:eastAsia="Verdana" w:cs="Verdana"/>
          <w:sz w:val="18"/>
          <w:szCs w:val="18"/>
        </w:rPr>
      </w:pPr>
      <w:r>
        <w:rPr>
          <w:rFonts w:eastAsia="Verdana" w:cs="Verdana" w:ascii="Verdana" w:hAnsi="Verdana"/>
          <w:b/>
          <w:i/>
          <w:sz w:val="18"/>
          <w:szCs w:val="18"/>
        </w:rPr>
        <w:t>Países não Mutuários:</w:t>
      </w:r>
    </w:p>
    <w:p>
      <w:pPr>
        <w:pStyle w:val="Normal"/>
        <w:numPr>
          <w:ilvl w:val="3"/>
          <w:numId w:val="5"/>
        </w:numPr>
        <w:suppressAutoHyphens w:val="true"/>
        <w:spacing w:before="120" w:after="120"/>
        <w:jc w:val="both"/>
        <w:rPr>
          <w:rFonts w:ascii="Verdana" w:hAnsi="Verdana" w:eastAsia="Verdana" w:cs="Verdana"/>
          <w:sz w:val="18"/>
          <w:szCs w:val="18"/>
        </w:rPr>
      </w:pPr>
      <w:r>
        <w:rPr>
          <w:rFonts w:eastAsia="Verdana" w:cs="Verdana" w:ascii="Verdana" w:hAnsi="Verdana"/>
          <w:i/>
          <w:sz w:val="18"/>
          <w:szCs w:val="18"/>
        </w:rPr>
        <w:t>Alemanha, Áustria, Bélgica, Canadá, República Popular da China, República da Coréia, Croácia, Dinamarca, Eslovênia, Espanha, Estados Unidos, Finlândia, França, Israel, Itália, Japão, Noruega, Países Baixos, Portugal, Reino Unido, Suécia e Suíça.</w:t>
      </w:r>
    </w:p>
    <w:p>
      <w:pPr>
        <w:pStyle w:val="Normal"/>
        <w:widowControl w:val="false"/>
        <w:ind w:firstLine="1620"/>
        <w:jc w:val="both"/>
        <w:rPr>
          <w:rFonts w:ascii="Verdana" w:hAnsi="Verdana" w:eastAsia="Verdana" w:cs="Verdana"/>
          <w:sz w:val="18"/>
          <w:szCs w:val="18"/>
        </w:rPr>
      </w:pPr>
      <w:r>
        <w:rPr>
          <w:rFonts w:eastAsia="Verdana" w:cs="Verdana" w:ascii="Verdana" w:hAnsi="Verdana"/>
          <w:sz w:val="18"/>
          <w:szCs w:val="18"/>
        </w:rPr>
        <w:t xml:space="preserve">c) </w:t>
      </w:r>
      <w:r>
        <w:rPr>
          <w:rFonts w:eastAsia="Verdana" w:cs="Verdana" w:ascii="Verdana" w:hAnsi="Verdana"/>
          <w:b/>
          <w:i/>
          <w:sz w:val="18"/>
          <w:szCs w:val="18"/>
        </w:rPr>
        <w:t>Territórios elegíveis:</w:t>
      </w:r>
    </w:p>
    <w:p>
      <w:pPr>
        <w:pStyle w:val="Normal"/>
        <w:numPr>
          <w:ilvl w:val="0"/>
          <w:numId w:val="7"/>
        </w:numPr>
        <w:shd w:val="clear" w:color="auto" w:fill="FFFFFF"/>
        <w:tabs>
          <w:tab w:val="clear" w:pos="720"/>
          <w:tab w:val="left" w:pos="3240" w:leader="none"/>
        </w:tabs>
        <w:suppressAutoHyphens w:val="true"/>
        <w:ind w:left="2520" w:hanging="540"/>
        <w:jc w:val="both"/>
        <w:rPr>
          <w:rFonts w:ascii="Verdana" w:hAnsi="Verdana" w:eastAsia="Verdana" w:cs="Verdana"/>
          <w:sz w:val="18"/>
          <w:szCs w:val="18"/>
        </w:rPr>
      </w:pPr>
      <w:r>
        <w:rPr>
          <w:rFonts w:eastAsia="Verdana" w:cs="Verdana" w:ascii="Verdana" w:hAnsi="Verdana"/>
          <w:i/>
          <w:color w:val="212121"/>
          <w:sz w:val="18"/>
          <w:szCs w:val="18"/>
        </w:rPr>
        <w:t>Guadalupe, Guiana Francesa, Martinica, Reunião - como Estado da França</w:t>
      </w:r>
    </w:p>
    <w:p>
      <w:pPr>
        <w:pStyle w:val="Normal"/>
        <w:numPr>
          <w:ilvl w:val="0"/>
          <w:numId w:val="7"/>
        </w:numPr>
        <w:shd w:val="clear" w:color="auto" w:fill="FFFFFF"/>
        <w:tabs>
          <w:tab w:val="clear" w:pos="720"/>
          <w:tab w:val="left" w:pos="3240" w:leader="none"/>
        </w:tabs>
        <w:suppressAutoHyphens w:val="true"/>
        <w:ind w:left="2520" w:hanging="540"/>
        <w:jc w:val="both"/>
        <w:rPr>
          <w:rFonts w:ascii="Verdana" w:hAnsi="Verdana" w:eastAsia="Verdana" w:cs="Verdana"/>
          <w:sz w:val="18"/>
          <w:szCs w:val="18"/>
        </w:rPr>
      </w:pPr>
      <w:r>
        <w:rPr>
          <w:rFonts w:eastAsia="Verdana" w:cs="Verdana" w:ascii="Verdana" w:hAnsi="Verdana"/>
          <w:i/>
          <w:color w:val="212121"/>
          <w:sz w:val="18"/>
          <w:szCs w:val="18"/>
        </w:rPr>
        <w:t>Ilhas Virgens dos EUA, Porto Rico, Guam - como Território dos EUA</w:t>
      </w:r>
    </w:p>
    <w:p>
      <w:pPr>
        <w:pStyle w:val="Normal"/>
        <w:numPr>
          <w:ilvl w:val="0"/>
          <w:numId w:val="7"/>
        </w:numPr>
        <w:shd w:val="clear" w:color="auto" w:fill="FFFFFF"/>
        <w:tabs>
          <w:tab w:val="clear" w:pos="720"/>
          <w:tab w:val="left" w:pos="3436" w:leader="none"/>
          <w:tab w:val="left" w:pos="4352" w:leader="none"/>
          <w:tab w:val="left" w:pos="5040" w:leader="none"/>
          <w:tab w:val="left" w:pos="8932" w:leader="none"/>
          <w:tab w:val="left" w:pos="9848" w:leader="none"/>
          <w:tab w:val="left" w:pos="10764" w:leader="none"/>
          <w:tab w:val="left" w:pos="11680" w:leader="none"/>
          <w:tab w:val="left" w:pos="12596" w:leader="none"/>
          <w:tab w:val="left" w:pos="13512" w:leader="none"/>
          <w:tab w:val="left" w:pos="14428" w:leader="none"/>
          <w:tab w:val="left" w:pos="15344" w:leader="none"/>
          <w:tab w:val="left" w:pos="16260" w:leader="none"/>
          <w:tab w:val="left" w:pos="17176" w:leader="none"/>
        </w:tabs>
        <w:suppressAutoHyphens w:val="true"/>
        <w:ind w:left="2520" w:hanging="630"/>
        <w:jc w:val="both"/>
        <w:rPr>
          <w:rFonts w:ascii="Verdana" w:hAnsi="Verdana" w:eastAsia="Verdana" w:cs="Verdana"/>
          <w:sz w:val="18"/>
          <w:szCs w:val="18"/>
        </w:rPr>
      </w:pPr>
      <w:r>
        <w:rPr>
          <w:rFonts w:eastAsia="Verdana" w:cs="Verdana" w:ascii="Verdana" w:hAnsi="Verdana"/>
          <w:i/>
          <w:color w:val="212121"/>
          <w:sz w:val="18"/>
          <w:szCs w:val="18"/>
        </w:rPr>
        <w:t>Aruba - como um país integrante do Reino dos Países Baixos, assim como, Bonaire, Curaçao, Santa Marta, Saba, Santo Eustáquio - como Estados</w:t>
      </w:r>
      <w:r>
        <w:rPr>
          <w:rFonts w:eastAsia="Verdana" w:cs="Verdana" w:ascii="Verdana" w:hAnsi="Verdana"/>
          <w:i/>
          <w:color w:val="FF0000"/>
          <w:sz w:val="18"/>
          <w:szCs w:val="18"/>
        </w:rPr>
        <w:t xml:space="preserve"> </w:t>
      </w:r>
      <w:r>
        <w:rPr>
          <w:rFonts w:eastAsia="Verdana" w:cs="Verdana" w:ascii="Verdana" w:hAnsi="Verdana"/>
          <w:i/>
          <w:color w:val="212121"/>
          <w:sz w:val="18"/>
          <w:szCs w:val="18"/>
        </w:rPr>
        <w:t>do Reino dos Países Baixos</w:t>
      </w:r>
    </w:p>
    <w:p>
      <w:pPr>
        <w:pStyle w:val="Normal"/>
        <w:numPr>
          <w:ilvl w:val="0"/>
          <w:numId w:val="7"/>
        </w:numPr>
        <w:shd w:val="clear" w:color="auto" w:fill="FFFFFF"/>
        <w:tabs>
          <w:tab w:val="clear" w:pos="720"/>
          <w:tab w:val="left" w:pos="3436" w:leader="none"/>
          <w:tab w:val="left" w:pos="4352" w:leader="none"/>
          <w:tab w:val="left" w:pos="4950" w:leader="none"/>
          <w:tab w:val="left" w:pos="8932" w:leader="none"/>
          <w:tab w:val="left" w:pos="9848" w:leader="none"/>
          <w:tab w:val="left" w:pos="10764" w:leader="none"/>
          <w:tab w:val="left" w:pos="11680" w:leader="none"/>
          <w:tab w:val="left" w:pos="12596" w:leader="none"/>
          <w:tab w:val="left" w:pos="13512" w:leader="none"/>
          <w:tab w:val="left" w:pos="14428" w:leader="none"/>
          <w:tab w:val="left" w:pos="15344" w:leader="none"/>
          <w:tab w:val="left" w:pos="16260" w:leader="none"/>
          <w:tab w:val="left" w:pos="17176" w:leader="none"/>
        </w:tabs>
        <w:suppressAutoHyphens w:val="true"/>
        <w:ind w:left="2520" w:hanging="630"/>
        <w:jc w:val="both"/>
        <w:rPr>
          <w:rFonts w:ascii="Verdana" w:hAnsi="Verdana" w:eastAsia="Verdana" w:cs="Verdana"/>
          <w:sz w:val="18"/>
          <w:szCs w:val="18"/>
        </w:rPr>
      </w:pPr>
      <w:r>
        <w:rPr>
          <w:rFonts w:eastAsia="Verdana" w:cs="Verdana" w:ascii="Verdana" w:hAnsi="Verdana"/>
          <w:i/>
          <w:color w:val="212121"/>
          <w:sz w:val="18"/>
          <w:szCs w:val="18"/>
        </w:rPr>
        <w:t>Hong Kong - Região Administrativa Especial da República Popular da China.</w:t>
      </w:r>
    </w:p>
    <w:p>
      <w:pPr>
        <w:pStyle w:val="Normal"/>
        <w:widowControl w:val="false"/>
        <w:ind w:right="576" w:hanging="0"/>
        <w:jc w:val="both"/>
        <w:rPr>
          <w:rFonts w:ascii="Verdana" w:hAnsi="Verdana" w:eastAsia="Verdana" w:cs="Verdana"/>
          <w:i/>
          <w:i/>
          <w:sz w:val="18"/>
          <w:szCs w:val="18"/>
        </w:rPr>
      </w:pPr>
      <w:r>
        <w:rPr>
          <w:rFonts w:eastAsia="Verdana" w:cs="Verdana" w:ascii="Verdana" w:hAnsi="Verdana"/>
          <w:i/>
          <w:sz w:val="18"/>
          <w:szCs w:val="18"/>
        </w:rPr>
      </w:r>
    </w:p>
    <w:p>
      <w:pPr>
        <w:pStyle w:val="Normal"/>
        <w:widowControl w:val="false"/>
        <w:jc w:val="both"/>
        <w:rPr>
          <w:rFonts w:ascii="Verdana" w:hAnsi="Verdana" w:eastAsia="Verdana" w:cs="Verdana"/>
          <w:sz w:val="18"/>
          <w:szCs w:val="18"/>
        </w:rPr>
      </w:pPr>
      <w:r>
        <w:rPr>
          <w:rFonts w:eastAsia="Verdana" w:cs="Verdana" w:ascii="Verdana" w:hAnsi="Verdana"/>
          <w:i/>
          <w:sz w:val="18"/>
          <w:szCs w:val="18"/>
        </w:rPr>
        <w:t>--------------------------------------</w:t>
      </w:r>
    </w:p>
    <w:p>
      <w:pPr>
        <w:pStyle w:val="Normal"/>
        <w:widowControl w:val="false"/>
        <w:jc w:val="both"/>
        <w:rPr>
          <w:rFonts w:ascii="Verdana" w:hAnsi="Verdana" w:eastAsia="Verdana" w:cs="Verdana"/>
          <w:i/>
          <w:i/>
          <w:sz w:val="18"/>
          <w:szCs w:val="18"/>
        </w:rPr>
      </w:pPr>
      <w:r>
        <w:rPr>
          <w:rFonts w:eastAsia="Verdana" w:cs="Verdana" w:ascii="Verdana" w:hAnsi="Verdana"/>
          <w:i/>
          <w:sz w:val="18"/>
          <w:szCs w:val="18"/>
        </w:rPr>
      </w:r>
    </w:p>
    <w:p>
      <w:pPr>
        <w:pStyle w:val="Normal"/>
        <w:spacing w:lineRule="auto" w:line="480" w:before="0" w:after="120"/>
        <w:jc w:val="both"/>
        <w:rPr>
          <w:rFonts w:ascii="Verdana" w:hAnsi="Verdana" w:eastAsia="Verdana" w:cs="Verdana"/>
          <w:b/>
          <w:b/>
          <w:i/>
          <w:i/>
          <w:sz w:val="18"/>
          <w:szCs w:val="18"/>
        </w:rPr>
      </w:pPr>
      <w:r>
        <w:rPr>
          <w:rFonts w:eastAsia="Verdana" w:cs="Verdana" w:ascii="Verdana" w:hAnsi="Verdana"/>
          <w:b/>
          <w:i/>
          <w:sz w:val="18"/>
          <w:szCs w:val="18"/>
        </w:rPr>
      </w:r>
    </w:p>
    <w:p>
      <w:pPr>
        <w:pStyle w:val="Normal"/>
        <w:jc w:val="both"/>
        <w:rPr>
          <w:rFonts w:ascii="Verdana" w:hAnsi="Verdana" w:eastAsia="Verdana" w:cs="Verdana"/>
          <w:sz w:val="18"/>
          <w:szCs w:val="18"/>
        </w:rPr>
      </w:pPr>
      <w:r>
        <w:rPr>
          <w:rFonts w:eastAsia="Verdana" w:cs="Verdana" w:ascii="Verdana" w:hAnsi="Verdana"/>
          <w:b/>
          <w:sz w:val="18"/>
          <w:szCs w:val="18"/>
        </w:rPr>
        <w:t>2) Critérios para determinar a nacionalidade e origem dos bens e serviços</w:t>
      </w:r>
    </w:p>
    <w:p>
      <w:pPr>
        <w:pStyle w:val="Normal"/>
        <w:widowControl w:val="false"/>
        <w:jc w:val="both"/>
        <w:rPr>
          <w:rFonts w:ascii="Verdana" w:hAnsi="Verdana" w:eastAsia="Verdana" w:cs="Verdana"/>
          <w:sz w:val="18"/>
          <w:szCs w:val="18"/>
        </w:rPr>
      </w:pPr>
      <w:r>
        <w:rPr>
          <w:rFonts w:eastAsia="Verdana" w:cs="Verdana" w:ascii="Verdana" w:hAnsi="Verdana"/>
          <w:sz w:val="18"/>
          <w:szCs w:val="18"/>
        </w:rPr>
      </w:r>
    </w:p>
    <w:p>
      <w:pPr>
        <w:pStyle w:val="Normal"/>
        <w:widowControl w:val="false"/>
        <w:jc w:val="both"/>
        <w:rPr>
          <w:rFonts w:ascii="Verdana" w:hAnsi="Verdana" w:eastAsia="Verdana" w:cs="Verdana"/>
          <w:sz w:val="18"/>
          <w:szCs w:val="18"/>
        </w:rPr>
      </w:pPr>
      <w:r>
        <w:rPr>
          <w:rFonts w:eastAsia="Verdana" w:cs="Verdana" w:ascii="Verdana" w:hAnsi="Verdana"/>
          <w:sz w:val="18"/>
          <w:szCs w:val="18"/>
        </w:rPr>
        <w:t>As disposições das políticas tornam necessário estabelecer critérios para determinar: a) a nacionalidade das firmas e indivíduos elegíveis para participar em contratos financiados pelo Banco; e b) o país de origem dos bens e serviços. Nessas determinações, serão utilizados os seguintes critérios:</w:t>
      </w:r>
    </w:p>
    <w:p>
      <w:pPr>
        <w:pStyle w:val="Normal"/>
        <w:widowControl w:val="false"/>
        <w:jc w:val="both"/>
        <w:rPr>
          <w:rFonts w:ascii="Verdana" w:hAnsi="Verdana" w:eastAsia="Verdana" w:cs="Verdana"/>
          <w:sz w:val="18"/>
          <w:szCs w:val="18"/>
        </w:rPr>
      </w:pPr>
      <w:r>
        <w:rPr>
          <w:rFonts w:eastAsia="Verdana" w:cs="Verdana" w:ascii="Verdana" w:hAnsi="Verdana"/>
          <w:sz w:val="18"/>
          <w:szCs w:val="18"/>
        </w:rPr>
      </w:r>
    </w:p>
    <w:p>
      <w:pPr>
        <w:pStyle w:val="Ttulo6"/>
        <w:rPr>
          <w:rFonts w:ascii="Verdana" w:hAnsi="Verdana" w:eastAsia="Verdana" w:cs="Verdana"/>
          <w:sz w:val="18"/>
          <w:szCs w:val="18"/>
        </w:rPr>
      </w:pPr>
      <w:r>
        <w:rPr>
          <w:rFonts w:eastAsia="Verdana" w:cs="Verdana" w:ascii="Verdana" w:hAnsi="Verdana"/>
          <w:sz w:val="18"/>
          <w:szCs w:val="18"/>
        </w:rPr>
        <w:t>A) Nacionalidade</w:t>
      </w:r>
    </w:p>
    <w:p>
      <w:pPr>
        <w:pStyle w:val="Normal"/>
        <w:widowControl w:val="false"/>
        <w:jc w:val="both"/>
        <w:rPr>
          <w:rFonts w:ascii="Verdana" w:hAnsi="Verdana" w:eastAsia="Verdana" w:cs="Verdana"/>
          <w:sz w:val="18"/>
          <w:szCs w:val="18"/>
        </w:rPr>
      </w:pPr>
      <w:r>
        <w:rPr>
          <w:rFonts w:eastAsia="Verdana" w:cs="Verdana" w:ascii="Verdana" w:hAnsi="Verdana"/>
          <w:sz w:val="18"/>
          <w:szCs w:val="18"/>
        </w:rPr>
      </w:r>
    </w:p>
    <w:p>
      <w:pPr>
        <w:pStyle w:val="Normal"/>
        <w:widowControl w:val="false"/>
        <w:spacing w:before="120" w:after="120"/>
        <w:ind w:left="360" w:hanging="0"/>
        <w:jc w:val="both"/>
        <w:rPr>
          <w:rFonts w:ascii="Verdana" w:hAnsi="Verdana" w:eastAsia="Verdana" w:cs="Verdana"/>
          <w:sz w:val="18"/>
          <w:szCs w:val="18"/>
        </w:rPr>
      </w:pPr>
      <w:r>
        <w:rPr>
          <w:rFonts w:eastAsia="Verdana" w:cs="Verdana" w:ascii="Verdana" w:hAnsi="Verdana"/>
          <w:sz w:val="18"/>
          <w:szCs w:val="18"/>
        </w:rPr>
        <w:t>a)</w:t>
      </w:r>
      <w:r>
        <w:rPr>
          <w:rFonts w:eastAsia="Verdana" w:cs="Verdana" w:ascii="Verdana" w:hAnsi="Verdana"/>
          <w:b/>
          <w:sz w:val="18"/>
          <w:szCs w:val="18"/>
        </w:rPr>
        <w:t xml:space="preserve"> Um indivíduo é considerado nacional</w:t>
      </w:r>
      <w:r>
        <w:rPr>
          <w:rFonts w:eastAsia="Verdana" w:cs="Verdana" w:ascii="Verdana" w:hAnsi="Verdana"/>
          <w:sz w:val="18"/>
          <w:szCs w:val="18"/>
        </w:rPr>
        <w:t xml:space="preserve"> de um país membro do Banco se satisfaz um dos seguintes requisitos:</w:t>
      </w:r>
    </w:p>
    <w:p>
      <w:pPr>
        <w:pStyle w:val="Normal"/>
        <w:numPr>
          <w:ilvl w:val="1"/>
          <w:numId w:val="8"/>
        </w:numPr>
        <w:tabs>
          <w:tab w:val="clear" w:pos="720"/>
          <w:tab w:val="left" w:pos="4219" w:leader="none"/>
        </w:tabs>
        <w:suppressAutoHyphens w:val="true"/>
        <w:spacing w:before="120" w:after="120"/>
        <w:ind w:left="2059" w:hanging="720"/>
        <w:jc w:val="both"/>
        <w:rPr>
          <w:rFonts w:ascii="Verdana" w:hAnsi="Verdana" w:eastAsia="Verdana" w:cs="Verdana"/>
          <w:sz w:val="18"/>
          <w:szCs w:val="18"/>
        </w:rPr>
      </w:pPr>
      <w:r>
        <w:rPr>
          <w:rFonts w:eastAsia="Verdana" w:cs="Verdana" w:ascii="Verdana" w:hAnsi="Verdana"/>
          <w:sz w:val="18"/>
          <w:szCs w:val="18"/>
        </w:rPr>
        <w:t>é cidadão de um país membro; ou</w:t>
      </w:r>
    </w:p>
    <w:p>
      <w:pPr>
        <w:pStyle w:val="Normal"/>
        <w:numPr>
          <w:ilvl w:val="1"/>
          <w:numId w:val="8"/>
        </w:numPr>
        <w:tabs>
          <w:tab w:val="clear" w:pos="720"/>
          <w:tab w:val="left" w:pos="4219" w:leader="none"/>
        </w:tabs>
        <w:suppressAutoHyphens w:val="true"/>
        <w:spacing w:before="120" w:after="120"/>
        <w:ind w:left="2059" w:hanging="720"/>
        <w:jc w:val="both"/>
        <w:rPr>
          <w:rFonts w:ascii="Verdana" w:hAnsi="Verdana" w:eastAsia="Verdana" w:cs="Verdana"/>
          <w:sz w:val="18"/>
          <w:szCs w:val="18"/>
        </w:rPr>
      </w:pPr>
      <w:r>
        <w:rPr>
          <w:rFonts w:eastAsia="Verdana" w:cs="Verdana" w:ascii="Verdana" w:hAnsi="Verdana"/>
          <w:sz w:val="18"/>
          <w:szCs w:val="18"/>
        </w:rPr>
        <w:t>estabeleceu seu domicílio em um país membro como residente de boa fé e está legalmente autorizado para trabalhar nesse país.</w:t>
      </w:r>
    </w:p>
    <w:p>
      <w:pPr>
        <w:pStyle w:val="Normal"/>
        <w:widowControl w:val="false"/>
        <w:spacing w:before="120" w:after="120"/>
        <w:ind w:left="360" w:hanging="0"/>
        <w:jc w:val="both"/>
        <w:rPr>
          <w:rFonts w:ascii="Verdana" w:hAnsi="Verdana" w:eastAsia="Verdana" w:cs="Verdana"/>
          <w:sz w:val="18"/>
          <w:szCs w:val="18"/>
        </w:rPr>
      </w:pPr>
      <w:r>
        <w:rPr>
          <w:rFonts w:eastAsia="Verdana" w:cs="Verdana" w:ascii="Verdana" w:hAnsi="Verdana"/>
          <w:sz w:val="18"/>
          <w:szCs w:val="18"/>
        </w:rPr>
        <w:t>b)</w:t>
      </w:r>
      <w:r>
        <w:rPr>
          <w:rFonts w:eastAsia="Verdana" w:cs="Verdana" w:ascii="Verdana" w:hAnsi="Verdana"/>
          <w:b/>
          <w:sz w:val="18"/>
          <w:szCs w:val="18"/>
        </w:rPr>
        <w:t xml:space="preserve"> Uma firma é</w:t>
      </w:r>
      <w:r>
        <w:rPr>
          <w:rFonts w:eastAsia="Verdana" w:cs="Verdana" w:ascii="Verdana" w:hAnsi="Verdana"/>
          <w:sz w:val="18"/>
          <w:szCs w:val="18"/>
        </w:rPr>
        <w:t xml:space="preserve"> </w:t>
      </w:r>
      <w:r>
        <w:rPr>
          <w:rFonts w:eastAsia="Verdana" w:cs="Verdana" w:ascii="Verdana" w:hAnsi="Verdana"/>
          <w:b/>
          <w:sz w:val="18"/>
          <w:szCs w:val="18"/>
        </w:rPr>
        <w:t>considerada nacional</w:t>
      </w:r>
      <w:r>
        <w:rPr>
          <w:rFonts w:eastAsia="Verdana" w:cs="Verdana" w:ascii="Verdana" w:hAnsi="Verdana"/>
          <w:sz w:val="18"/>
          <w:szCs w:val="18"/>
        </w:rPr>
        <w:t xml:space="preserve"> de um país membro se satisfaz os dois seguintes requisitos:</w:t>
      </w:r>
    </w:p>
    <w:p>
      <w:pPr>
        <w:pStyle w:val="Normal"/>
        <w:numPr>
          <w:ilvl w:val="2"/>
          <w:numId w:val="6"/>
        </w:numPr>
        <w:suppressAutoHyphens w:val="true"/>
        <w:spacing w:before="120" w:after="120"/>
        <w:ind w:left="2025" w:hanging="720"/>
        <w:jc w:val="both"/>
        <w:rPr>
          <w:rFonts w:ascii="Verdana" w:hAnsi="Verdana" w:eastAsia="Verdana" w:cs="Verdana"/>
          <w:sz w:val="18"/>
          <w:szCs w:val="18"/>
        </w:rPr>
      </w:pPr>
      <w:r>
        <w:rPr>
          <w:rFonts w:eastAsia="Verdana" w:cs="Verdana" w:ascii="Verdana" w:hAnsi="Verdana"/>
          <w:sz w:val="18"/>
          <w:szCs w:val="18"/>
        </w:rPr>
        <w:t>está legalmente constituída ou estabelecida conforme as leis de um país membro do Banco; e</w:t>
      </w:r>
    </w:p>
    <w:p>
      <w:pPr>
        <w:pStyle w:val="Normal"/>
        <w:numPr>
          <w:ilvl w:val="2"/>
          <w:numId w:val="6"/>
        </w:numPr>
        <w:suppressAutoHyphens w:val="true"/>
        <w:spacing w:before="120" w:after="120"/>
        <w:ind w:left="2025" w:hanging="720"/>
        <w:jc w:val="both"/>
        <w:rPr>
          <w:rFonts w:ascii="Verdana" w:hAnsi="Verdana" w:eastAsia="Verdana" w:cs="Verdana"/>
          <w:sz w:val="18"/>
          <w:szCs w:val="18"/>
        </w:rPr>
      </w:pPr>
      <w:r>
        <w:rPr>
          <w:rFonts w:eastAsia="Verdana" w:cs="Verdana" w:ascii="Verdana" w:hAnsi="Verdana"/>
          <w:sz w:val="18"/>
          <w:szCs w:val="18"/>
        </w:rPr>
        <w:t>mais de cinqüenta por cento (50%) do capital da firma é de propriedade de indivíduos ou firmas de países membros do Banco.</w:t>
      </w:r>
    </w:p>
    <w:p>
      <w:pPr>
        <w:pStyle w:val="Normal"/>
        <w:widowControl w:val="false"/>
        <w:jc w:val="both"/>
        <w:rPr>
          <w:rFonts w:ascii="Verdana" w:hAnsi="Verdana" w:eastAsia="Verdana" w:cs="Verdana"/>
          <w:sz w:val="18"/>
          <w:szCs w:val="18"/>
        </w:rPr>
      </w:pPr>
      <w:r>
        <w:rPr>
          <w:rFonts w:eastAsia="Verdana" w:cs="Verdana" w:ascii="Verdana" w:hAnsi="Verdana"/>
          <w:sz w:val="18"/>
          <w:szCs w:val="18"/>
        </w:rPr>
      </w:r>
    </w:p>
    <w:p>
      <w:pPr>
        <w:pStyle w:val="Normal"/>
        <w:widowControl w:val="false"/>
        <w:jc w:val="both"/>
        <w:rPr>
          <w:rFonts w:ascii="Verdana" w:hAnsi="Verdana" w:eastAsia="Verdana" w:cs="Verdana"/>
          <w:sz w:val="18"/>
          <w:szCs w:val="18"/>
        </w:rPr>
      </w:pPr>
      <w:r>
        <w:rPr>
          <w:rFonts w:eastAsia="Verdana" w:cs="Verdana" w:ascii="Verdana" w:hAnsi="Verdana"/>
          <w:sz w:val="18"/>
          <w:szCs w:val="18"/>
        </w:rPr>
        <w:t>Todos os membros de um consórcio e todos os subempreiteiros devem cumprir os requisitos acima estabelecidos.</w:t>
      </w:r>
    </w:p>
    <w:p>
      <w:pPr>
        <w:pStyle w:val="Normal"/>
        <w:widowControl w:val="false"/>
        <w:jc w:val="both"/>
        <w:rPr>
          <w:rFonts w:ascii="Verdana" w:hAnsi="Verdana" w:eastAsia="Verdana" w:cs="Verdana"/>
          <w:sz w:val="18"/>
          <w:szCs w:val="18"/>
        </w:rPr>
      </w:pPr>
      <w:r>
        <w:rPr>
          <w:rFonts w:eastAsia="Verdana" w:cs="Verdana" w:ascii="Verdana" w:hAnsi="Verdana"/>
          <w:sz w:val="18"/>
          <w:szCs w:val="18"/>
        </w:rPr>
      </w:r>
    </w:p>
    <w:p>
      <w:pPr>
        <w:pStyle w:val="Normal"/>
        <w:widowControl w:val="false"/>
        <w:jc w:val="both"/>
        <w:rPr>
          <w:rFonts w:ascii="Verdana" w:hAnsi="Verdana" w:eastAsia="Verdana" w:cs="Verdana"/>
          <w:sz w:val="18"/>
          <w:szCs w:val="18"/>
        </w:rPr>
      </w:pPr>
      <w:r>
        <w:rPr>
          <w:rFonts w:eastAsia="Verdana" w:cs="Verdana" w:ascii="Verdana" w:hAnsi="Verdana"/>
          <w:b/>
          <w:sz w:val="18"/>
          <w:szCs w:val="18"/>
          <w:u w:val="single"/>
        </w:rPr>
        <w:t>B) Origem dos Bens</w:t>
      </w:r>
    </w:p>
    <w:p>
      <w:pPr>
        <w:pStyle w:val="Normal"/>
        <w:widowControl w:val="false"/>
        <w:jc w:val="both"/>
        <w:rPr>
          <w:rFonts w:ascii="Verdana" w:hAnsi="Verdana" w:eastAsia="Verdana" w:cs="Verdana"/>
          <w:sz w:val="18"/>
          <w:szCs w:val="18"/>
        </w:rPr>
      </w:pPr>
      <w:r>
        <w:rPr>
          <w:rFonts w:eastAsia="Verdana" w:cs="Verdana" w:ascii="Verdana" w:hAnsi="Verdana"/>
          <w:sz w:val="18"/>
          <w:szCs w:val="18"/>
        </w:rPr>
      </w:r>
    </w:p>
    <w:p>
      <w:pPr>
        <w:pStyle w:val="Normal"/>
        <w:widowControl w:val="false"/>
        <w:jc w:val="both"/>
        <w:rPr>
          <w:rFonts w:ascii="Verdana" w:hAnsi="Verdana" w:eastAsia="Verdana" w:cs="Verdana"/>
          <w:sz w:val="18"/>
          <w:szCs w:val="18"/>
        </w:rPr>
      </w:pPr>
      <w:r>
        <w:rPr>
          <w:rFonts w:eastAsia="Verdana" w:cs="Verdana" w:ascii="Verdana" w:hAnsi="Verdana"/>
          <w:sz w:val="18"/>
          <w:szCs w:val="18"/>
        </w:rPr>
        <w:t>Os bens têm origem em um país membro do Banco se foram extraídos, desenvolvidos, cultivados, colhidos ou produzidos em um país membro do Banco. Considera-se que um bem é produzido quando, mediante manufatura, processamento ou montagem, o resultado é um artigo comercialmente reconhecido cujas características, funções ou utilidades básicas são substancialmente diferentes de suas partes ou componentes.</w:t>
      </w:r>
    </w:p>
    <w:p>
      <w:pPr>
        <w:pStyle w:val="Normal"/>
        <w:widowControl w:val="false"/>
        <w:jc w:val="both"/>
        <w:rPr>
          <w:rFonts w:ascii="Verdana" w:hAnsi="Verdana" w:eastAsia="Verdana" w:cs="Verdana"/>
          <w:sz w:val="18"/>
          <w:szCs w:val="18"/>
        </w:rPr>
      </w:pPr>
      <w:r>
        <w:rPr>
          <w:rFonts w:eastAsia="Verdana" w:cs="Verdana" w:ascii="Verdana" w:hAnsi="Verdana"/>
          <w:sz w:val="18"/>
          <w:szCs w:val="18"/>
        </w:rPr>
      </w:r>
    </w:p>
    <w:p>
      <w:pPr>
        <w:pStyle w:val="Normal"/>
        <w:widowControl w:val="false"/>
        <w:jc w:val="both"/>
        <w:rPr>
          <w:rFonts w:ascii="Verdana" w:hAnsi="Verdana" w:eastAsia="Verdana" w:cs="Verdana"/>
          <w:sz w:val="18"/>
          <w:szCs w:val="18"/>
        </w:rPr>
      </w:pPr>
      <w:r>
        <w:rPr>
          <w:rFonts w:eastAsia="Verdana" w:cs="Verdana" w:ascii="Verdana" w:hAnsi="Verdana"/>
          <w:sz w:val="18"/>
          <w:szCs w:val="18"/>
        </w:rPr>
        <w:t>No caso de um bem que consiste de vários componentes individuais que devem ser interconectados (pelo fornecedor, comprador ou um terceiro) para que o bem possa ser utilizado, e sem importar a complexidade da interconexão, o Banco considera que este bem é elegível para financiamento se a montagem dos componentes for feita em um país membro, independente da origem dos componentes. Quando o bem é uma combinação de vários bens individuais que normalmente são empacotados e vendidos comercialmente como uma só unidade, o bem é considerado proveniente do país onde este foi empacotado e embarcado com destino ao comprador.</w:t>
      </w:r>
    </w:p>
    <w:p>
      <w:pPr>
        <w:pStyle w:val="Normal"/>
        <w:widowControl w:val="false"/>
        <w:jc w:val="both"/>
        <w:rPr>
          <w:rFonts w:ascii="Verdana" w:hAnsi="Verdana" w:eastAsia="Verdana" w:cs="Verdana"/>
          <w:sz w:val="18"/>
          <w:szCs w:val="18"/>
        </w:rPr>
      </w:pPr>
      <w:r>
        <w:rPr>
          <w:rFonts w:eastAsia="Verdana" w:cs="Verdana" w:ascii="Verdana" w:hAnsi="Verdana"/>
          <w:sz w:val="18"/>
          <w:szCs w:val="18"/>
        </w:rPr>
      </w:r>
    </w:p>
    <w:p>
      <w:pPr>
        <w:pStyle w:val="Normal"/>
        <w:jc w:val="both"/>
        <w:rPr>
          <w:rFonts w:ascii="Verdana" w:hAnsi="Verdana" w:eastAsia="Verdana" w:cs="Verdana"/>
          <w:sz w:val="18"/>
          <w:szCs w:val="18"/>
        </w:rPr>
      </w:pPr>
      <w:r>
        <w:rPr>
          <w:rFonts w:eastAsia="Verdana" w:cs="Verdana" w:ascii="Verdana" w:hAnsi="Verdana"/>
          <w:sz w:val="18"/>
          <w:szCs w:val="18"/>
        </w:rPr>
        <w:t>Para fins de determinação da origem dos bens identificados como “feito na União Europeia”, estes serão elegíveis sem necessidade de identificar o correspondente país específico da União Europeia.</w:t>
      </w:r>
    </w:p>
    <w:p>
      <w:pPr>
        <w:pStyle w:val="Normal"/>
        <w:widowControl w:val="false"/>
        <w:jc w:val="both"/>
        <w:rPr>
          <w:rFonts w:ascii="Verdana" w:hAnsi="Verdana" w:eastAsia="Verdana" w:cs="Verdana"/>
          <w:sz w:val="18"/>
          <w:szCs w:val="18"/>
        </w:rPr>
      </w:pPr>
      <w:r>
        <w:rPr>
          <w:rFonts w:eastAsia="Verdana" w:cs="Verdana" w:ascii="Verdana" w:hAnsi="Verdana"/>
          <w:sz w:val="18"/>
          <w:szCs w:val="18"/>
        </w:rPr>
      </w:r>
    </w:p>
    <w:p>
      <w:pPr>
        <w:pStyle w:val="Normal"/>
        <w:widowControl w:val="false"/>
        <w:jc w:val="both"/>
        <w:rPr>
          <w:rFonts w:ascii="Verdana" w:hAnsi="Verdana" w:eastAsia="Verdana" w:cs="Verdana"/>
          <w:sz w:val="18"/>
          <w:szCs w:val="18"/>
        </w:rPr>
      </w:pPr>
      <w:r>
        <w:rPr>
          <w:rFonts w:eastAsia="Verdana" w:cs="Verdana" w:ascii="Verdana" w:hAnsi="Verdana"/>
          <w:sz w:val="18"/>
          <w:szCs w:val="18"/>
        </w:rPr>
        <w:t>A origem dos materiais, partes ou componentes dos bens ou a nacionalidade da empresa produtora, montadora, distribuidora ou vendedora dos bens não determina a origem dos mesmos.</w:t>
      </w:r>
    </w:p>
    <w:p>
      <w:pPr>
        <w:pStyle w:val="Normal"/>
        <w:widowControl w:val="false"/>
        <w:jc w:val="both"/>
        <w:rPr>
          <w:rFonts w:ascii="Verdana" w:hAnsi="Verdana" w:eastAsia="Verdana" w:cs="Verdana"/>
          <w:sz w:val="18"/>
          <w:szCs w:val="18"/>
        </w:rPr>
      </w:pPr>
      <w:r>
        <w:rPr>
          <w:rFonts w:eastAsia="Verdana" w:cs="Verdana" w:ascii="Verdana" w:hAnsi="Verdana"/>
          <w:sz w:val="18"/>
          <w:szCs w:val="18"/>
        </w:rPr>
      </w:r>
    </w:p>
    <w:p>
      <w:pPr>
        <w:pStyle w:val="Normal"/>
        <w:widowControl w:val="false"/>
        <w:jc w:val="both"/>
        <w:rPr>
          <w:rFonts w:ascii="Verdana" w:hAnsi="Verdana" w:eastAsia="Verdana" w:cs="Verdana"/>
          <w:sz w:val="18"/>
          <w:szCs w:val="18"/>
        </w:rPr>
      </w:pPr>
      <w:r>
        <w:rPr>
          <w:rFonts w:eastAsia="Verdana" w:cs="Verdana" w:ascii="Verdana" w:hAnsi="Verdana"/>
          <w:b/>
          <w:sz w:val="18"/>
          <w:szCs w:val="18"/>
          <w:u w:val="single"/>
        </w:rPr>
        <w:t>C) Origem dos Serviços</w:t>
      </w:r>
    </w:p>
    <w:p>
      <w:pPr>
        <w:pStyle w:val="Normal"/>
        <w:widowControl w:val="false"/>
        <w:jc w:val="both"/>
        <w:rPr>
          <w:rFonts w:ascii="Verdana" w:hAnsi="Verdana" w:eastAsia="Verdana" w:cs="Verdana"/>
          <w:b/>
          <w:b/>
          <w:sz w:val="18"/>
          <w:szCs w:val="18"/>
          <w:u w:val="single"/>
        </w:rPr>
      </w:pPr>
      <w:r>
        <w:rPr>
          <w:rFonts w:eastAsia="Verdana" w:cs="Verdana" w:ascii="Verdana" w:hAnsi="Verdana"/>
          <w:b/>
          <w:sz w:val="18"/>
          <w:szCs w:val="18"/>
          <w:u w:val="single"/>
        </w:rPr>
      </w:r>
    </w:p>
    <w:p>
      <w:pPr>
        <w:pStyle w:val="Normal"/>
        <w:widowControl w:val="false"/>
        <w:tabs>
          <w:tab w:val="clear" w:pos="720"/>
          <w:tab w:val="left" w:pos="3420" w:leader="none"/>
        </w:tabs>
        <w:jc w:val="both"/>
        <w:rPr>
          <w:rFonts w:ascii="Verdana" w:hAnsi="Verdana" w:eastAsia="Verdana" w:cs="Verdana"/>
          <w:sz w:val="18"/>
          <w:szCs w:val="18"/>
        </w:rPr>
      </w:pPr>
      <w:r>
        <w:rPr>
          <w:rFonts w:eastAsia="Verdana" w:cs="Verdana" w:ascii="Verdana" w:hAnsi="Verdana"/>
          <w:sz w:val="18"/>
          <w:szCs w:val="18"/>
        </w:rPr>
        <w:t>O país de origem dos serviços é o mesmo do indivíduo ou empresa que presta os serviços conforme os critérios de nacionalidade acima estabelecidos. Este critério é aplicado aos serviços conexos ao fornecimento de bens (tais como transporte, seguro, instalação, montagem, etc.), aos serviços de construção e aos serviços de consultoria.</w:t>
      </w:r>
    </w:p>
    <w:sectPr>
      <w:headerReference w:type="default" r:id="rId15"/>
      <w:footerReference w:type="default" r:id="rId16"/>
      <w:footnotePr>
        <w:numFmt w:val="decimal"/>
      </w:footnotePr>
      <w:type w:val="nextPage"/>
      <w:pgSz w:w="11906" w:h="16838"/>
      <w:pgMar w:left="1455" w:right="1132" w:header="170" w:top="1836" w:footer="907" w:bottom="1383" w:gutter="0"/>
      <w:pgNumType w:start="1" w:fmt="decimal"/>
      <w:formProt w:val="false"/>
      <w:textDirection w:val="lrTb"/>
      <w:docGrid w:type="default" w:linePitch="100" w:charSpace="8192"/>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Arial Black">
    <w:charset w:val="00"/>
    <w:family w:val="roman"/>
    <w:pitch w:val="variable"/>
  </w:font>
  <w:font w:name="Arial">
    <w:charset w:val="00"/>
    <w:family w:val="roman"/>
    <w:pitch w:val="variable"/>
  </w:font>
  <w:font w:name="Liberation Sans">
    <w:altName w:val="Arial"/>
    <w:charset w:val="00"/>
    <w:family w:val="swiss"/>
    <w:pitch w:val="variable"/>
  </w:font>
  <w:font w:name="MS Mincho">
    <w:charset w:val="00"/>
    <w:family w:val="roman"/>
    <w:pitch w:val="variable"/>
  </w:font>
  <w:font w:name="Verdana">
    <w:charset w:val="00"/>
    <w:family w:val="roman"/>
    <w:pitch w:val="variable"/>
  </w:font>
  <w:font w:name="Arial Unicode MS">
    <w:charset w:val="00"/>
    <w:family w:val="roman"/>
    <w:pitch w:val="variable"/>
  </w:font>
  <w:font w:name="Calibri">
    <w:charset w:val="00"/>
    <w:family w:val="roman"/>
    <w:pitch w:val="variable"/>
  </w:font>
  <w:font w:name="Courier New">
    <w:charset w:val="01"/>
    <w:family w:val="modern"/>
    <w:pitch w:val="fixed"/>
  </w:font>
  <w:font w:name="Wingdings">
    <w:charset w:val="02"/>
    <w:family w:val="auto"/>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Normal"/>
      <w:pBdr/>
      <w:tabs>
        <w:tab w:val="clear" w:pos="720"/>
        <w:tab w:val="center" w:pos="4818" w:leader="none"/>
        <w:tab w:val="right" w:pos="9637" w:leader="none"/>
      </w:tabs>
      <w:jc w:val="center"/>
      <w:rPr>
        <w:color w:val="000000"/>
        <w:sz w:val="36"/>
        <w:szCs w:val="36"/>
      </w:rPr>
    </w:pPr>
    <w:r>
      <w:rPr>
        <w:rFonts w:eastAsia="Verdana" w:cs="Verdana" w:ascii="Verdana" w:hAnsi="Verdana"/>
        <w:color w:val="000000"/>
        <w:sz w:val="18"/>
        <w:szCs w:val="18"/>
      </w:rPr>
      <w:t xml:space="preserve">Página </w:t>
    </w:r>
    <w:r>
      <w:rPr>
        <w:rFonts w:eastAsia="Verdana" w:cs="Verdana" w:ascii="Verdana" w:hAnsi="Verdana"/>
        <w:b/>
        <w:color w:val="000000"/>
        <w:sz w:val="18"/>
        <w:szCs w:val="18"/>
      </w:rPr>
      <w:fldChar w:fldCharType="begin"/>
    </w:r>
    <w:r>
      <w:rPr>
        <w:sz w:val="18"/>
        <w:b/>
        <w:szCs w:val="18"/>
        <w:rFonts w:eastAsia="Verdana" w:cs="Verdana" w:ascii="Verdana" w:hAnsi="Verdana"/>
        <w:color w:val="000000"/>
      </w:rPr>
      <w:instrText> PAGE </w:instrText>
    </w:r>
    <w:r>
      <w:rPr>
        <w:sz w:val="18"/>
        <w:b/>
        <w:szCs w:val="18"/>
        <w:rFonts w:eastAsia="Verdana" w:cs="Verdana" w:ascii="Verdana" w:hAnsi="Verdana"/>
        <w:color w:val="000000"/>
      </w:rPr>
      <w:fldChar w:fldCharType="separate"/>
    </w:r>
    <w:r>
      <w:rPr>
        <w:sz w:val="18"/>
        <w:b/>
        <w:szCs w:val="18"/>
        <w:rFonts w:eastAsia="Verdana" w:cs="Verdana" w:ascii="Verdana" w:hAnsi="Verdana"/>
        <w:color w:val="000000"/>
      </w:rPr>
      <w:t>41</w:t>
    </w:r>
    <w:r>
      <w:rPr>
        <w:sz w:val="18"/>
        <w:b/>
        <w:szCs w:val="18"/>
        <w:rFonts w:eastAsia="Verdana" w:cs="Verdana" w:ascii="Verdana" w:hAnsi="Verdana"/>
        <w:color w:val="000000"/>
      </w:rPr>
      <w:fldChar w:fldCharType="end"/>
    </w:r>
    <w:r>
      <w:rPr>
        <w:rFonts w:eastAsia="Verdana" w:cs="Verdana" w:ascii="Verdana" w:hAnsi="Verdana"/>
        <w:color w:val="000000"/>
        <w:sz w:val="18"/>
        <w:szCs w:val="18"/>
      </w:rPr>
      <w:t xml:space="preserve"> de </w:t>
    </w:r>
    <w:r>
      <w:rPr>
        <w:rFonts w:eastAsia="Verdana" w:cs="Verdana" w:ascii="Verdana" w:hAnsi="Verdana"/>
        <w:b/>
        <w:color w:val="000000"/>
        <w:sz w:val="18"/>
        <w:szCs w:val="18"/>
      </w:rPr>
      <w:fldChar w:fldCharType="begin"/>
    </w:r>
    <w:r>
      <w:rPr>
        <w:sz w:val="18"/>
        <w:b/>
        <w:szCs w:val="18"/>
        <w:rFonts w:eastAsia="Verdana" w:cs="Verdana" w:ascii="Verdana" w:hAnsi="Verdana"/>
        <w:color w:val="000000"/>
      </w:rPr>
      <w:instrText> NUMPAGES </w:instrText>
    </w:r>
    <w:r>
      <w:rPr>
        <w:sz w:val="18"/>
        <w:b/>
        <w:szCs w:val="18"/>
        <w:rFonts w:eastAsia="Verdana" w:cs="Verdana" w:ascii="Verdana" w:hAnsi="Verdana"/>
        <w:color w:val="000000"/>
      </w:rPr>
      <w:fldChar w:fldCharType="separate"/>
    </w:r>
    <w:r>
      <w:rPr>
        <w:sz w:val="18"/>
        <w:b/>
        <w:szCs w:val="18"/>
        <w:rFonts w:eastAsia="Verdana" w:cs="Verdana" w:ascii="Verdana" w:hAnsi="Verdana"/>
        <w:color w:val="000000"/>
      </w:rPr>
      <w:t>41</w:t>
    </w:r>
    <w:r>
      <w:rPr>
        <w:sz w:val="18"/>
        <w:b/>
        <w:szCs w:val="18"/>
        <w:rFonts w:eastAsia="Verdana" w:cs="Verdana" w:ascii="Verdana" w:hAnsi="Verdana"/>
        <w:color w:val="000000"/>
      </w:rPr>
      <w:fldChar w:fldCharType="end"/>
    </w:r>
  </w:p>
  <w:p>
    <w:pPr>
      <w:pStyle w:val="Normal"/>
      <w:tabs>
        <w:tab w:val="clear" w:pos="720"/>
        <w:tab w:val="left" w:pos="709" w:leader="none"/>
      </w:tabs>
      <w:jc w:val="both"/>
      <w:rPr>
        <w:rFonts w:ascii="Verdana" w:hAnsi="Verdana" w:eastAsia="Verdana" w:cs="Verdana"/>
        <w:b/>
        <w:b/>
        <w:sz w:val="18"/>
        <w:szCs w:val="18"/>
      </w:rPr>
    </w:pPr>
    <w:r>
      <w:rPr>
        <w:rFonts w:eastAsia="Verdana" w:cs="Verdana" w:ascii="Verdana" w:hAnsi="Verdana"/>
        <w:b/>
        <w:sz w:val="18"/>
        <w:szCs w:val="18"/>
      </w:rPr>
    </w:r>
  </w:p>
  <w:p>
    <w:pPr>
      <w:pStyle w:val="Normal"/>
      <w:pBdr/>
      <w:tabs>
        <w:tab w:val="clear" w:pos="720"/>
        <w:tab w:val="center" w:pos="4818" w:leader="none"/>
        <w:tab w:val="right" w:pos="9637" w:leader="none"/>
      </w:tabs>
      <w:rPr>
        <w:rFonts w:ascii="Verdana" w:hAnsi="Verdana" w:eastAsia="Verdana" w:cs="Verdana"/>
        <w:b/>
        <w:b/>
        <w:sz w:val="18"/>
        <w:szCs w:val="18"/>
      </w:rPr>
    </w:pPr>
    <w:r>
      <w:rPr>
        <w:rFonts w:eastAsia="Verdana" w:cs="Verdana" w:ascii="Verdana" w:hAnsi="Verdana"/>
        <w:b/>
        <w:sz w:val="18"/>
        <w:szCs w:val="18"/>
      </w:rPr>
    </w:r>
  </w:p>
</w:ftr>
</file>

<file path=word/footnotes.xml><?xml version="1.0" encoding="utf-8"?>
<w:footnotes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footnote w:id="0" w:type="separator">
    <w:p>
      <w:pPr>
        <w:rPr>
          <w:sz w:val="12"/>
        </w:rPr>
      </w:pPr>
      <w:r>
        <w:separator/>
      </w:r>
    </w:p>
  </w:footnote>
  <w:footnote w:id="1" w:type="continuationSeparator">
    <w:p>
      <w:pPr>
        <w:rPr>
          <w:sz w:val="12"/>
        </w:rPr>
      </w:pPr>
      <w:r>
        <w:continuationSeparator/>
      </w:r>
    </w:p>
  </w:footnote>
  <w:footnote w:id="2">
    <w:p>
      <w:pPr>
        <w:pStyle w:val="Normal"/>
        <w:pBdr/>
        <w:spacing w:before="100" w:after="100"/>
        <w:rPr>
          <w:color w:val="000000"/>
        </w:rPr>
      </w:pPr>
      <w:r>
        <w:rPr>
          <w:rStyle w:val="Caracteresdenotaderodap"/>
        </w:rPr>
        <w:footnoteRef/>
      </w:r>
      <w:r>
        <w:rPr/>
      </w:r>
    </w:p>
  </w:footnote>
  <w:footnote w:id="3">
    <w:p>
      <w:pPr>
        <w:pStyle w:val="Normal"/>
        <w:widowControl w:val="false"/>
        <w:jc w:val="both"/>
        <w:rPr>
          <w:rFonts w:ascii="Verdana" w:hAnsi="Verdana" w:eastAsia="Verdana" w:cs="Verdana"/>
          <w:sz w:val="16"/>
          <w:szCs w:val="16"/>
        </w:rPr>
      </w:pPr>
      <w:r>
        <w:rPr>
          <w:rStyle w:val="Caracteresdenotaderodap"/>
        </w:rPr>
        <w:footnoteRef/>
      </w:r>
      <w:r>
        <w:rPr>
          <w:rFonts w:eastAsia="Calibri" w:cs="Calibri" w:ascii="Calibri" w:hAnsi="Calibri"/>
          <w:sz w:val="24"/>
          <w:szCs w:val="24"/>
        </w:rPr>
        <w:t xml:space="preserve"> </w:t>
      </w:r>
      <w:r>
        <w:rPr>
          <w:rFonts w:eastAsia="Verdana" w:cs="Verdana" w:ascii="Verdana" w:hAnsi="Verdana"/>
          <w:sz w:val="16"/>
          <w:szCs w:val="16"/>
        </w:rPr>
        <w:t xml:space="preserve">No </w:t>
      </w:r>
      <w:r>
        <w:rPr>
          <w:rFonts w:eastAsia="Verdana" w:cs="Verdana" w:ascii="Verdana" w:hAnsi="Verdana"/>
          <w:i/>
          <w:sz w:val="16"/>
          <w:szCs w:val="16"/>
        </w:rPr>
        <w:t>site</w:t>
      </w:r>
      <w:r>
        <w:rPr>
          <w:rFonts w:eastAsia="Verdana" w:cs="Verdana" w:ascii="Verdana" w:hAnsi="Verdana"/>
          <w:sz w:val="16"/>
          <w:szCs w:val="16"/>
        </w:rPr>
        <w:t xml:space="preserve"> do Banco (</w:t>
      </w:r>
      <w:hyperlink r:id="rId1">
        <w:r>
          <w:rPr>
            <w:rFonts w:eastAsia="Verdana" w:cs="Verdana" w:ascii="Verdana" w:hAnsi="Verdana"/>
            <w:color w:val="0000FF"/>
            <w:sz w:val="16"/>
            <w:szCs w:val="16"/>
            <w:u w:val="single"/>
          </w:rPr>
          <w:t>www.iadb.org/integrity</w:t>
        </w:r>
      </w:hyperlink>
      <w:r>
        <w:rPr>
          <w:rFonts w:eastAsia="Verdana" w:cs="Verdana" w:ascii="Verdana" w:hAnsi="Verdana"/>
          <w:sz w:val="16"/>
          <w:szCs w:val="16"/>
        </w:rPr>
        <w:t>) pode-se encontrar informações sobre como denunciar supostas Práticas Proibidas, as normas aplicáveis ao processo de investigação e sanção e o acordo que rege o reconhecimento recíproco de sanções entre instituições financeiras internacionais.</w:t>
      </w:r>
    </w:p>
  </w:footnote>
  <w:footnote w:id="4">
    <w:p>
      <w:pPr>
        <w:pStyle w:val="Normal"/>
        <w:widowControl w:val="false"/>
        <w:jc w:val="both"/>
        <w:rPr>
          <w:rFonts w:ascii="Verdana" w:hAnsi="Verdana" w:eastAsia="Verdana" w:cs="Verdana"/>
          <w:sz w:val="16"/>
          <w:szCs w:val="16"/>
        </w:rPr>
      </w:pPr>
      <w:r>
        <w:rPr>
          <w:rStyle w:val="Caracteresdenotaderodap"/>
        </w:rPr>
        <w:footnoteRef/>
      </w:r>
      <w:r>
        <w:rPr>
          <w:rFonts w:eastAsia="Verdana" w:cs="Verdana" w:ascii="Verdana" w:hAnsi="Verdana"/>
          <w:sz w:val="16"/>
          <w:szCs w:val="16"/>
        </w:rPr>
        <w:t xml:space="preserve">Um subconsultor, subcontratado, fornecedor ou executor de serviços designado (utilizam-se diferentes nomes dependendo do documento de licitação) é aquele que cumpre uma das seguintes condições: (i) foi incluído pelo concorrente na sua proposta ou solicitação de pré-qualificação devido ao mesmo possuir experiência e conhecimentos específicos e essenciais que permitam no cumprir com os requisitos de qualificação da referida licitação; ou (ii) foi designado pelo Mutuário.  </w:t>
      </w:r>
    </w:p>
  </w:footnote>
</w:footnote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Normal"/>
      <w:widowControl w:val="false"/>
      <w:pBdr/>
      <w:spacing w:lineRule="auto" w:line="276"/>
      <w:rPr>
        <w:color w:val="000000"/>
      </w:rPr>
    </w:pPr>
    <w:r>
      <w:rPr>
        <w:color w:val="000000"/>
      </w:rPr>
    </w:r>
  </w:p>
  <w:tbl>
    <w:tblPr>
      <w:tblStyle w:val="a2"/>
      <w:tblW w:w="9517" w:type="dxa"/>
      <w:jc w:val="left"/>
      <w:tblInd w:w="0" w:type="dxa"/>
      <w:tblLayout w:type="fixed"/>
      <w:tblCellMar>
        <w:top w:w="0" w:type="dxa"/>
        <w:left w:w="108" w:type="dxa"/>
        <w:bottom w:w="0" w:type="dxa"/>
        <w:right w:w="108" w:type="dxa"/>
      </w:tblCellMar>
      <w:tblLook w:firstRow="0" w:noVBand="0" w:lastRow="0" w:firstColumn="0" w:lastColumn="0" w:noHBand="0" w:val="0000"/>
    </w:tblPr>
    <w:tblGrid>
      <w:gridCol w:w="1249"/>
      <w:gridCol w:w="8267"/>
    </w:tblGrid>
    <w:tr>
      <w:trPr>
        <w:trHeight w:val="1725" w:hRule="atLeast"/>
      </w:trPr>
      <w:tc>
        <w:tcPr>
          <w:tcW w:w="1249" w:type="dxa"/>
          <w:tcBorders/>
        </w:tcPr>
        <w:p>
          <w:pPr>
            <w:pStyle w:val="Normal"/>
            <w:widowControl w:val="false"/>
            <w:pBdr/>
            <w:rPr>
              <w:rFonts w:ascii="Verdana" w:hAnsi="Verdana" w:eastAsia="Verdana" w:cs="Verdana"/>
              <w:color w:val="000000"/>
              <w:sz w:val="18"/>
              <w:szCs w:val="18"/>
            </w:rPr>
          </w:pPr>
          <w:r>
            <w:rPr>
              <w:rFonts w:eastAsia="Verdana" w:cs="Verdana" w:ascii="Verdana" w:hAnsi="Verdana"/>
              <w:color w:val="000000"/>
              <w:sz w:val="18"/>
              <w:szCs w:val="18"/>
            </w:rPr>
          </w:r>
        </w:p>
        <w:p>
          <w:pPr>
            <w:pStyle w:val="Normal"/>
            <w:widowControl w:val="false"/>
            <w:rPr>
              <w:rFonts w:ascii="Verdana" w:hAnsi="Verdana" w:eastAsia="Verdana" w:cs="Verdana"/>
              <w:sz w:val="18"/>
              <w:szCs w:val="18"/>
            </w:rPr>
          </w:pPr>
          <w:r>
            <w:rPr/>
            <w:drawing>
              <wp:inline distT="0" distB="0" distL="0" distR="0">
                <wp:extent cx="619125" cy="619125"/>
                <wp:effectExtent l="0" t="0" r="0" b="0"/>
                <wp:docPr id="1" name="image1.png"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png" descr=""/>
                        <pic:cNvPicPr>
                          <a:picLocks noChangeAspect="1" noChangeArrowheads="1"/>
                        </pic:cNvPicPr>
                      </pic:nvPicPr>
                      <pic:blipFill>
                        <a:blip r:embed="rId1"/>
                        <a:srcRect l="-5246" t="-4758" r="0" b="0"/>
                        <a:stretch>
                          <a:fillRect/>
                        </a:stretch>
                      </pic:blipFill>
                      <pic:spPr bwMode="auto">
                        <a:xfrm>
                          <a:off x="0" y="0"/>
                          <a:ext cx="619125" cy="619125"/>
                        </a:xfrm>
                        <a:prstGeom prst="rect">
                          <a:avLst/>
                        </a:prstGeom>
                      </pic:spPr>
                    </pic:pic>
                  </a:graphicData>
                </a:graphic>
              </wp:inline>
            </w:drawing>
          </w:r>
        </w:p>
        <w:p>
          <w:pPr>
            <w:pStyle w:val="Normal"/>
            <w:widowControl w:val="false"/>
            <w:pBdr/>
            <w:rPr>
              <w:rFonts w:ascii="Verdana" w:hAnsi="Verdana" w:eastAsia="Verdana" w:cs="Verdana"/>
              <w:color w:val="000000"/>
              <w:sz w:val="18"/>
              <w:szCs w:val="18"/>
            </w:rPr>
          </w:pPr>
          <w:r>
            <w:rPr>
              <w:rFonts w:eastAsia="Verdana" w:cs="Verdana" w:ascii="Verdana" w:hAnsi="Verdana"/>
              <w:color w:val="000000"/>
              <w:sz w:val="18"/>
              <w:szCs w:val="18"/>
            </w:rPr>
          </w:r>
        </w:p>
      </w:tc>
      <w:tc>
        <w:tcPr>
          <w:tcW w:w="8267" w:type="dxa"/>
          <w:tcBorders/>
        </w:tcPr>
        <w:p>
          <w:pPr>
            <w:pStyle w:val="Normal"/>
            <w:widowControl w:val="false"/>
            <w:pBdr/>
            <w:rPr>
              <w:rFonts w:ascii="Verdana" w:hAnsi="Verdana" w:eastAsia="Verdana" w:cs="Verdana"/>
              <w:color w:val="000000"/>
              <w:sz w:val="18"/>
              <w:szCs w:val="18"/>
            </w:rPr>
          </w:pPr>
          <w:r>
            <w:rPr>
              <w:rFonts w:eastAsia="Verdana" w:cs="Verdana" w:ascii="Verdana" w:hAnsi="Verdana"/>
              <w:color w:val="000000"/>
              <w:sz w:val="18"/>
              <w:szCs w:val="18"/>
            </w:rPr>
          </w:r>
        </w:p>
        <w:p>
          <w:pPr>
            <w:pStyle w:val="Normal"/>
            <w:widowControl w:val="false"/>
            <w:pBdr/>
            <w:rPr>
              <w:rFonts w:ascii="Verdana" w:hAnsi="Verdana" w:eastAsia="Verdana" w:cs="Verdana"/>
              <w:b/>
              <w:b/>
              <w:color w:val="000000"/>
              <w:sz w:val="18"/>
              <w:szCs w:val="18"/>
            </w:rPr>
          </w:pPr>
          <w:r>
            <w:rPr>
              <w:rFonts w:eastAsia="Verdana" w:cs="Verdana" w:ascii="Verdana" w:hAnsi="Verdana"/>
              <w:b/>
              <w:color w:val="000000"/>
              <w:sz w:val="18"/>
              <w:szCs w:val="18"/>
            </w:rPr>
            <w:t xml:space="preserve">ESTADO DO ESPÍRITO SANTO </w:t>
          </w:r>
        </w:p>
        <w:p>
          <w:pPr>
            <w:pStyle w:val="Normal"/>
            <w:widowControl w:val="false"/>
            <w:pBdr/>
            <w:rPr>
              <w:rFonts w:ascii="Verdana" w:hAnsi="Verdana" w:eastAsia="Verdana" w:cs="Verdana"/>
              <w:b/>
              <w:b/>
              <w:color w:val="000000"/>
              <w:sz w:val="18"/>
              <w:szCs w:val="18"/>
            </w:rPr>
          </w:pPr>
          <w:r>
            <w:rPr>
              <w:rFonts w:eastAsia="Verdana" w:cs="Verdana" w:ascii="Verdana" w:hAnsi="Verdana"/>
              <w:b/>
              <w:color w:val="000000"/>
              <w:sz w:val="18"/>
              <w:szCs w:val="18"/>
            </w:rPr>
            <w:t>PODER JUDICIÁRIO</w:t>
          </w:r>
        </w:p>
        <w:p>
          <w:pPr>
            <w:pStyle w:val="Normal"/>
            <w:widowControl w:val="false"/>
            <w:pBdr/>
            <w:rPr>
              <w:rFonts w:ascii="Verdana" w:hAnsi="Verdana" w:eastAsia="Verdana" w:cs="Verdana"/>
              <w:b/>
              <w:b/>
              <w:color w:val="000000"/>
              <w:sz w:val="18"/>
              <w:szCs w:val="18"/>
            </w:rPr>
          </w:pPr>
          <w:r>
            <w:rPr>
              <w:rFonts w:eastAsia="Verdana" w:cs="Verdana" w:ascii="Verdana" w:hAnsi="Verdana"/>
              <w:b/>
              <w:color w:val="000000"/>
              <w:sz w:val="18"/>
              <w:szCs w:val="18"/>
            </w:rPr>
            <w:t>SECRETARIA DE INFRAESTRUTURA</w:t>
          </w:r>
        </w:p>
        <w:p>
          <w:pPr>
            <w:pStyle w:val="Normal"/>
            <w:widowControl w:val="false"/>
            <w:pBdr/>
            <w:rPr>
              <w:rFonts w:ascii="Verdana" w:hAnsi="Verdana" w:eastAsia="Verdana" w:cs="Verdana"/>
              <w:b/>
              <w:b/>
              <w:color w:val="000000"/>
              <w:sz w:val="18"/>
              <w:szCs w:val="18"/>
            </w:rPr>
          </w:pPr>
          <w:r>
            <w:rPr>
              <w:rFonts w:eastAsia="Verdana" w:cs="Verdana" w:ascii="Verdana" w:hAnsi="Verdana"/>
              <w:b/>
              <w:color w:val="000000"/>
              <w:sz w:val="18"/>
              <w:szCs w:val="18"/>
            </w:rPr>
            <w:t>COORDENADORIA DE COMPRAS, LICITAÇÃO E CONTRATOS</w:t>
          </w:r>
        </w:p>
        <w:p>
          <w:pPr>
            <w:pStyle w:val="Normal"/>
            <w:widowControl w:val="false"/>
            <w:pBdr/>
            <w:rPr>
              <w:rFonts w:ascii="Verdana" w:hAnsi="Verdana" w:eastAsia="Verdana" w:cs="Verdana"/>
              <w:b/>
              <w:b/>
              <w:color w:val="000000"/>
              <w:sz w:val="18"/>
              <w:szCs w:val="18"/>
            </w:rPr>
          </w:pPr>
          <w:r>
            <w:rPr>
              <w:rFonts w:eastAsia="Verdana" w:cs="Verdana" w:ascii="Verdana" w:hAnsi="Verdana"/>
              <w:b/>
              <w:color w:val="000000"/>
              <w:sz w:val="18"/>
              <w:szCs w:val="18"/>
            </w:rPr>
            <w:t>SEÇÃO DE CONTRATAÇÃO</w:t>
          </w:r>
        </w:p>
      </w:tc>
    </w:tr>
  </w:tbl>
  <w:p>
    <w:pPr>
      <w:pStyle w:val="Normal"/>
      <w:pBdr/>
      <w:tabs>
        <w:tab w:val="clear" w:pos="720"/>
        <w:tab w:val="center" w:pos="4680" w:leader="none"/>
        <w:tab w:val="right" w:pos="9360" w:leader="none"/>
      </w:tabs>
      <w:jc w:val="center"/>
      <w:rPr>
        <w:color w:val="000000"/>
        <w:sz w:val="24"/>
        <w:szCs w:val="24"/>
      </w:rPr>
    </w:pPr>
    <w:r>
      <w:rPr>
        <w:color w:val="000000"/>
        <w:sz w:val="24"/>
        <w:szCs w:val="24"/>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lowerLetter"/>
      <w:lvlText w:val="%1)"/>
      <w:lvlJc w:val="left"/>
      <w:pPr>
        <w:tabs>
          <w:tab w:val="num" w:pos="0"/>
        </w:tabs>
        <w:ind w:left="720" w:hanging="360"/>
      </w:pPr>
      <w:rPr>
        <w:u w:val="none"/>
      </w:rPr>
    </w:lvl>
    <w:lvl w:ilvl="1">
      <w:start w:val="1"/>
      <w:numFmt w:val="lowerRoman"/>
      <w:lvlText w:val="%2)"/>
      <w:lvlJc w:val="right"/>
      <w:pPr>
        <w:tabs>
          <w:tab w:val="num" w:pos="0"/>
        </w:tabs>
        <w:ind w:left="1440" w:hanging="360"/>
      </w:pPr>
      <w:rPr>
        <w:u w:val="none"/>
      </w:rPr>
    </w:lvl>
    <w:lvl w:ilvl="2">
      <w:start w:val="1"/>
      <w:numFmt w:val="decimal"/>
      <w:lvlText w:val="%3)"/>
      <w:lvlJc w:val="left"/>
      <w:pPr>
        <w:tabs>
          <w:tab w:val="num" w:pos="0"/>
        </w:tabs>
        <w:ind w:left="2160" w:hanging="360"/>
      </w:pPr>
      <w:rPr>
        <w:u w:val="none"/>
      </w:rPr>
    </w:lvl>
    <w:lvl w:ilvl="3">
      <w:start w:val="1"/>
      <w:numFmt w:val="lowerLetter"/>
      <w:lvlText w:val="(%4)"/>
      <w:lvlJc w:val="left"/>
      <w:pPr>
        <w:tabs>
          <w:tab w:val="num" w:pos="0"/>
        </w:tabs>
        <w:ind w:left="2880" w:hanging="360"/>
      </w:pPr>
      <w:rPr>
        <w:u w:val="none"/>
      </w:rPr>
    </w:lvl>
    <w:lvl w:ilvl="4">
      <w:start w:val="1"/>
      <w:numFmt w:val="lowerRoman"/>
      <w:lvlText w:val="(%5)"/>
      <w:lvlJc w:val="right"/>
      <w:pPr>
        <w:tabs>
          <w:tab w:val="num" w:pos="0"/>
        </w:tabs>
        <w:ind w:left="3600" w:hanging="360"/>
      </w:pPr>
      <w:rPr>
        <w:u w:val="none"/>
      </w:rPr>
    </w:lvl>
    <w:lvl w:ilvl="5">
      <w:start w:val="1"/>
      <w:numFmt w:val="decimal"/>
      <w:lvlText w:val="(%6)"/>
      <w:lvlJc w:val="left"/>
      <w:pPr>
        <w:tabs>
          <w:tab w:val="num" w:pos="0"/>
        </w:tabs>
        <w:ind w:left="4320" w:hanging="360"/>
      </w:pPr>
      <w:rPr>
        <w:u w:val="none"/>
      </w:rPr>
    </w:lvl>
    <w:lvl w:ilvl="6">
      <w:start w:val="1"/>
      <w:numFmt w:val="lowerLetter"/>
      <w:lvlText w:val="%7."/>
      <w:lvlJc w:val="left"/>
      <w:pPr>
        <w:tabs>
          <w:tab w:val="num" w:pos="0"/>
        </w:tabs>
        <w:ind w:left="5040" w:hanging="360"/>
      </w:pPr>
      <w:rPr>
        <w:u w:val="none"/>
      </w:rPr>
    </w:lvl>
    <w:lvl w:ilvl="7">
      <w:start w:val="1"/>
      <w:numFmt w:val="lowerRoman"/>
      <w:lvlText w:val="%8."/>
      <w:lvlJc w:val="right"/>
      <w:pPr>
        <w:tabs>
          <w:tab w:val="num" w:pos="0"/>
        </w:tabs>
        <w:ind w:left="5760" w:hanging="360"/>
      </w:pPr>
      <w:rPr>
        <w:u w:val="none"/>
      </w:rPr>
    </w:lvl>
    <w:lvl w:ilvl="8">
      <w:start w:val="1"/>
      <w:numFmt w:val="decimal"/>
      <w:lvlText w:val="%9."/>
      <w:lvlJc w:val="left"/>
      <w:pPr>
        <w:tabs>
          <w:tab w:val="num" w:pos="0"/>
        </w:tabs>
        <w:ind w:left="6480" w:hanging="360"/>
      </w:pPr>
      <w:rPr>
        <w:u w:val="none"/>
      </w:rPr>
    </w:lvl>
  </w:abstractNum>
  <w:abstractNum w:abstractNumId="2">
    <w:lvl w:ilvl="0">
      <w:start w:val="1"/>
      <w:numFmt w:val="lowerLetter"/>
      <w:lvlText w:val="%1)"/>
      <w:lvlJc w:val="left"/>
      <w:pPr>
        <w:tabs>
          <w:tab w:val="num" w:pos="0"/>
        </w:tabs>
        <w:ind w:left="720" w:hanging="360"/>
      </w:pPr>
      <w:rPr>
        <w:u w:val="none"/>
      </w:rPr>
    </w:lvl>
    <w:lvl w:ilvl="1">
      <w:start w:val="1"/>
      <w:numFmt w:val="lowerRoman"/>
      <w:lvlText w:val="%2)"/>
      <w:lvlJc w:val="right"/>
      <w:pPr>
        <w:tabs>
          <w:tab w:val="num" w:pos="0"/>
        </w:tabs>
        <w:ind w:left="1440" w:hanging="360"/>
      </w:pPr>
      <w:rPr>
        <w:u w:val="none"/>
      </w:rPr>
    </w:lvl>
    <w:lvl w:ilvl="2">
      <w:start w:val="1"/>
      <w:numFmt w:val="decimal"/>
      <w:lvlText w:val="%3)"/>
      <w:lvlJc w:val="left"/>
      <w:pPr>
        <w:tabs>
          <w:tab w:val="num" w:pos="0"/>
        </w:tabs>
        <w:ind w:left="2160" w:hanging="360"/>
      </w:pPr>
      <w:rPr>
        <w:u w:val="none"/>
      </w:rPr>
    </w:lvl>
    <w:lvl w:ilvl="3">
      <w:start w:val="1"/>
      <w:numFmt w:val="lowerLetter"/>
      <w:lvlText w:val="(%4)"/>
      <w:lvlJc w:val="left"/>
      <w:pPr>
        <w:tabs>
          <w:tab w:val="num" w:pos="0"/>
        </w:tabs>
        <w:ind w:left="2880" w:hanging="360"/>
      </w:pPr>
      <w:rPr>
        <w:u w:val="none"/>
      </w:rPr>
    </w:lvl>
    <w:lvl w:ilvl="4">
      <w:start w:val="1"/>
      <w:numFmt w:val="lowerRoman"/>
      <w:lvlText w:val="(%5)"/>
      <w:lvlJc w:val="right"/>
      <w:pPr>
        <w:tabs>
          <w:tab w:val="num" w:pos="0"/>
        </w:tabs>
        <w:ind w:left="3600" w:hanging="360"/>
      </w:pPr>
      <w:rPr>
        <w:u w:val="none"/>
      </w:rPr>
    </w:lvl>
    <w:lvl w:ilvl="5">
      <w:start w:val="1"/>
      <w:numFmt w:val="decimal"/>
      <w:lvlText w:val="(%6)"/>
      <w:lvlJc w:val="left"/>
      <w:pPr>
        <w:tabs>
          <w:tab w:val="num" w:pos="0"/>
        </w:tabs>
        <w:ind w:left="4320" w:hanging="360"/>
      </w:pPr>
      <w:rPr>
        <w:u w:val="none"/>
      </w:rPr>
    </w:lvl>
    <w:lvl w:ilvl="6">
      <w:start w:val="1"/>
      <w:numFmt w:val="lowerLetter"/>
      <w:lvlText w:val="%7."/>
      <w:lvlJc w:val="left"/>
      <w:pPr>
        <w:tabs>
          <w:tab w:val="num" w:pos="0"/>
        </w:tabs>
        <w:ind w:left="5040" w:hanging="360"/>
      </w:pPr>
      <w:rPr>
        <w:u w:val="none"/>
      </w:rPr>
    </w:lvl>
    <w:lvl w:ilvl="7">
      <w:start w:val="1"/>
      <w:numFmt w:val="lowerRoman"/>
      <w:lvlText w:val="%8."/>
      <w:lvlJc w:val="right"/>
      <w:pPr>
        <w:tabs>
          <w:tab w:val="num" w:pos="0"/>
        </w:tabs>
        <w:ind w:left="5760" w:hanging="360"/>
      </w:pPr>
      <w:rPr>
        <w:u w:val="none"/>
      </w:rPr>
    </w:lvl>
    <w:lvl w:ilvl="8">
      <w:start w:val="1"/>
      <w:numFmt w:val="decimal"/>
      <w:lvlText w:val="%9."/>
      <w:lvlJc w:val="left"/>
      <w:pPr>
        <w:tabs>
          <w:tab w:val="num" w:pos="0"/>
        </w:tabs>
        <w:ind w:left="6480" w:hanging="360"/>
      </w:pPr>
      <w:rPr>
        <w:u w:val="none"/>
      </w:rPr>
    </w:lvl>
  </w:abstractNum>
  <w:abstractNum w:abstractNumId="3">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lvl w:ilvl="0">
      <w:start w:val="8"/>
      <w:numFmt w:val="decimal"/>
      <w:lvlText w:val="%1."/>
      <w:lvlJc w:val="left"/>
      <w:pPr>
        <w:tabs>
          <w:tab w:val="num" w:pos="0"/>
        </w:tabs>
        <w:ind w:left="360" w:hanging="360"/>
      </w:pPr>
    </w:lvl>
    <w:lvl w:ilvl="1">
      <w:start w:val="1"/>
      <w:numFmt w:val="lowerLetter"/>
      <w:lvlText w:val="%1.%2."/>
      <w:lvlJc w:val="left"/>
      <w:pPr>
        <w:tabs>
          <w:tab w:val="num" w:pos="0"/>
        </w:tabs>
        <w:ind w:left="1080" w:hanging="360"/>
      </w:pPr>
    </w:lvl>
    <w:lvl w:ilvl="2">
      <w:start w:val="1"/>
      <w:numFmt w:val="lowerLetter"/>
      <w:lvlText w:val="%1.%2.%3)"/>
      <w:lvlJc w:val="left"/>
      <w:pPr>
        <w:tabs>
          <w:tab w:val="num" w:pos="0"/>
        </w:tabs>
        <w:ind w:left="1980" w:hanging="360"/>
      </w:pPr>
    </w:lvl>
    <w:lvl w:ilvl="3">
      <w:start w:val="1"/>
      <w:numFmt w:val="lowerRoman"/>
      <w:lvlText w:val="(%1.%2.%3.%4)"/>
      <w:lvlJc w:val="right"/>
      <w:pPr>
        <w:tabs>
          <w:tab w:val="num" w:pos="0"/>
        </w:tabs>
        <w:ind w:left="2520" w:hanging="360"/>
      </w:pPr>
    </w:lvl>
    <w:lvl w:ilvl="4">
      <w:start w:val="1"/>
      <w:numFmt w:val="lowerRoman"/>
      <w:lvlText w:val="(%1.%2.%3.%4.%5)"/>
      <w:lvlJc w:val="right"/>
      <w:pPr>
        <w:tabs>
          <w:tab w:val="num" w:pos="0"/>
        </w:tabs>
        <w:ind w:left="3240" w:hanging="360"/>
      </w:pPr>
    </w:lvl>
    <w:lvl w:ilvl="5">
      <w:start w:val="1"/>
      <w:numFmt w:val="lowerRoman"/>
      <w:lvlText w:val="%1.%2.%3.%4.%5.%6."/>
      <w:lvlJc w:val="right"/>
      <w:pPr>
        <w:tabs>
          <w:tab w:val="num" w:pos="0"/>
        </w:tabs>
        <w:ind w:left="3960" w:hanging="180"/>
      </w:pPr>
    </w:lvl>
    <w:lvl w:ilvl="6">
      <w:start w:val="1"/>
      <w:numFmt w:val="decimal"/>
      <w:lvlText w:val="%1.%2.%3.%4.%5.%6.%7."/>
      <w:lvlJc w:val="left"/>
      <w:pPr>
        <w:tabs>
          <w:tab w:val="num" w:pos="0"/>
        </w:tabs>
        <w:ind w:left="4680" w:hanging="360"/>
      </w:pPr>
    </w:lvl>
    <w:lvl w:ilvl="7">
      <w:start w:val="1"/>
      <w:numFmt w:val="lowerLetter"/>
      <w:lvlText w:val="%1.%2.%3.%4.%5.%6.%7.%8."/>
      <w:lvlJc w:val="left"/>
      <w:pPr>
        <w:tabs>
          <w:tab w:val="num" w:pos="0"/>
        </w:tabs>
        <w:ind w:left="5400" w:hanging="360"/>
      </w:pPr>
    </w:lvl>
    <w:lvl w:ilvl="8">
      <w:start w:val="1"/>
      <w:numFmt w:val="lowerRoman"/>
      <w:lvlText w:val="%1.%2.%3.%4.%5.%6.%7.%8.%9."/>
      <w:lvlJc w:val="right"/>
      <w:pPr>
        <w:tabs>
          <w:tab w:val="num" w:pos="0"/>
        </w:tabs>
        <w:ind w:left="6120" w:hanging="180"/>
      </w:pPr>
    </w:lvl>
  </w:abstractNum>
  <w:abstractNum w:abstractNumId="6">
    <w:lvl w:ilvl="0">
      <w:start w:val="3"/>
      <w:numFmt w:val="lowerLetter"/>
      <w:lvlText w:val="(%1)"/>
      <w:lvlJc w:val="left"/>
      <w:pPr>
        <w:tabs>
          <w:tab w:val="num" w:pos="0"/>
        </w:tabs>
        <w:ind w:left="936" w:hanging="360"/>
      </w:pPr>
    </w:lvl>
    <w:lvl w:ilvl="1">
      <w:start w:val="1"/>
      <w:numFmt w:val="lowerRoman"/>
      <w:lvlText w:val="(%1.%2)"/>
      <w:lvlJc w:val="right"/>
      <w:pPr>
        <w:tabs>
          <w:tab w:val="num" w:pos="0"/>
        </w:tabs>
        <w:ind w:left="1656" w:hanging="360"/>
      </w:pPr>
    </w:lvl>
    <w:lvl w:ilvl="2">
      <w:start w:val="1"/>
      <w:numFmt w:val="lowerRoman"/>
      <w:lvlText w:val="%1.%2.%3."/>
      <w:lvlJc w:val="left"/>
      <w:pPr>
        <w:tabs>
          <w:tab w:val="num" w:pos="0"/>
        </w:tabs>
        <w:ind w:left="2916" w:hanging="720"/>
      </w:pPr>
    </w:lvl>
    <w:lvl w:ilvl="3">
      <w:start w:val="1"/>
      <w:numFmt w:val="decimal"/>
      <w:lvlText w:val="%1.%2.%3.%4."/>
      <w:lvlJc w:val="left"/>
      <w:pPr>
        <w:tabs>
          <w:tab w:val="num" w:pos="0"/>
        </w:tabs>
        <w:ind w:left="3096" w:hanging="360"/>
      </w:pPr>
    </w:lvl>
    <w:lvl w:ilvl="4">
      <w:start w:val="1"/>
      <w:numFmt w:val="lowerLetter"/>
      <w:lvlText w:val="%1.%2.%3.%4.%5."/>
      <w:lvlJc w:val="left"/>
      <w:pPr>
        <w:tabs>
          <w:tab w:val="num" w:pos="0"/>
        </w:tabs>
        <w:ind w:left="3816" w:hanging="360"/>
      </w:pPr>
    </w:lvl>
    <w:lvl w:ilvl="5">
      <w:start w:val="1"/>
      <w:numFmt w:val="lowerRoman"/>
      <w:lvlText w:val="%1.%2.%3.%4.%5.%6."/>
      <w:lvlJc w:val="right"/>
      <w:pPr>
        <w:tabs>
          <w:tab w:val="num" w:pos="0"/>
        </w:tabs>
        <w:ind w:left="4536" w:hanging="180"/>
      </w:pPr>
    </w:lvl>
    <w:lvl w:ilvl="6">
      <w:start w:val="1"/>
      <w:numFmt w:val="decimal"/>
      <w:lvlText w:val="%1.%2.%3.%4.%5.%6.%7."/>
      <w:lvlJc w:val="left"/>
      <w:pPr>
        <w:tabs>
          <w:tab w:val="num" w:pos="0"/>
        </w:tabs>
        <w:ind w:left="5256" w:hanging="360"/>
      </w:pPr>
    </w:lvl>
    <w:lvl w:ilvl="7">
      <w:start w:val="1"/>
      <w:numFmt w:val="lowerLetter"/>
      <w:lvlText w:val="%1.%2.%3.%4.%5.%6.%7.%8."/>
      <w:lvlJc w:val="left"/>
      <w:pPr>
        <w:tabs>
          <w:tab w:val="num" w:pos="0"/>
        </w:tabs>
        <w:ind w:left="5976" w:hanging="360"/>
      </w:pPr>
    </w:lvl>
    <w:lvl w:ilvl="8">
      <w:start w:val="1"/>
      <w:numFmt w:val="lowerRoman"/>
      <w:lvlText w:val="%1.%2.%3.%4.%5.%6.%7.%8.%9."/>
      <w:lvlJc w:val="right"/>
      <w:pPr>
        <w:tabs>
          <w:tab w:val="num" w:pos="0"/>
        </w:tabs>
        <w:ind w:left="6696" w:hanging="180"/>
      </w:pPr>
    </w:lvl>
  </w:abstractNum>
  <w:abstractNum w:abstractNumId="7">
    <w:lvl w:ilvl="0">
      <w:start w:val="1"/>
      <w:numFmt w:val="lowerRoman"/>
      <w:lvlText w:val="(%1)"/>
      <w:lvlJc w:val="left"/>
      <w:pPr>
        <w:tabs>
          <w:tab w:val="num" w:pos="0"/>
        </w:tabs>
        <w:ind w:left="360" w:hanging="360"/>
      </w:pPr>
      <w:rPr>
        <w:sz w:val="22"/>
        <w:i/>
        <w:u w:val="none"/>
        <w:b w:val="false"/>
        <w:szCs w:val="22"/>
        <w:rFonts w:ascii="Times New Roman" w:hAnsi="Times New Roman" w:eastAsia="Times New Roman" w:cs="Times New Roman"/>
        <w:color w:val="000000"/>
      </w:rPr>
    </w:lvl>
    <w:lvl w:ilvl="1">
      <w:start w:val="1"/>
      <w:numFmt w:val="lowerLetter"/>
      <w:lvlText w:val="%1.%2."/>
      <w:lvlJc w:val="left"/>
      <w:pPr>
        <w:tabs>
          <w:tab w:val="num" w:pos="0"/>
        </w:tabs>
        <w:ind w:left="1080" w:hanging="360"/>
      </w:pPr>
    </w:lvl>
    <w:lvl w:ilvl="2">
      <w:start w:val="1"/>
      <w:numFmt w:val="lowerRoman"/>
      <w:lvlText w:val="%1.%2.%3."/>
      <w:lvlJc w:val="right"/>
      <w:pPr>
        <w:tabs>
          <w:tab w:val="num" w:pos="0"/>
        </w:tabs>
        <w:ind w:left="1800" w:hanging="180"/>
      </w:pPr>
    </w:lvl>
    <w:lvl w:ilvl="3">
      <w:start w:val="1"/>
      <w:numFmt w:val="decimal"/>
      <w:lvlText w:val="%1.%2.%3.%4."/>
      <w:lvlJc w:val="left"/>
      <w:pPr>
        <w:tabs>
          <w:tab w:val="num" w:pos="0"/>
        </w:tabs>
        <w:ind w:left="2520" w:hanging="360"/>
      </w:pPr>
    </w:lvl>
    <w:lvl w:ilvl="4">
      <w:start w:val="1"/>
      <w:numFmt w:val="lowerLetter"/>
      <w:lvlText w:val="%1.%2.%3.%4.%5."/>
      <w:lvlJc w:val="left"/>
      <w:pPr>
        <w:tabs>
          <w:tab w:val="num" w:pos="0"/>
        </w:tabs>
        <w:ind w:left="3240" w:hanging="360"/>
      </w:pPr>
    </w:lvl>
    <w:lvl w:ilvl="5">
      <w:start w:val="1"/>
      <w:numFmt w:val="lowerRoman"/>
      <w:lvlText w:val="%1.%2.%3.%4.%5.%6."/>
      <w:lvlJc w:val="right"/>
      <w:pPr>
        <w:tabs>
          <w:tab w:val="num" w:pos="0"/>
        </w:tabs>
        <w:ind w:left="3960" w:hanging="180"/>
      </w:pPr>
    </w:lvl>
    <w:lvl w:ilvl="6">
      <w:start w:val="1"/>
      <w:numFmt w:val="decimal"/>
      <w:lvlText w:val="%1.%2.%3.%4.%5.%6.%7."/>
      <w:lvlJc w:val="left"/>
      <w:pPr>
        <w:tabs>
          <w:tab w:val="num" w:pos="0"/>
        </w:tabs>
        <w:ind w:left="4680" w:hanging="360"/>
      </w:pPr>
    </w:lvl>
    <w:lvl w:ilvl="7">
      <w:start w:val="1"/>
      <w:numFmt w:val="lowerLetter"/>
      <w:lvlText w:val="%1.%2.%3.%4.%5.%6.%7.%8."/>
      <w:lvlJc w:val="left"/>
      <w:pPr>
        <w:tabs>
          <w:tab w:val="num" w:pos="0"/>
        </w:tabs>
        <w:ind w:left="5400" w:hanging="360"/>
      </w:pPr>
    </w:lvl>
    <w:lvl w:ilvl="8">
      <w:start w:val="1"/>
      <w:numFmt w:val="lowerRoman"/>
      <w:lvlText w:val="%1.%2.%3.%4.%5.%6.%7.%8.%9."/>
      <w:lvlJc w:val="right"/>
      <w:pPr>
        <w:tabs>
          <w:tab w:val="num" w:pos="0"/>
        </w:tabs>
        <w:ind w:left="6120" w:hanging="180"/>
      </w:pPr>
    </w:lvl>
  </w:abstractNum>
  <w:abstractNum w:abstractNumId="8">
    <w:lvl w:ilvl="0">
      <w:start w:val="2"/>
      <w:numFmt w:val="lowerLetter"/>
      <w:lvlText w:val="(%1)"/>
      <w:lvlJc w:val="left"/>
      <w:pPr>
        <w:tabs>
          <w:tab w:val="num" w:pos="0"/>
        </w:tabs>
        <w:ind w:left="972" w:hanging="360"/>
      </w:pPr>
    </w:lvl>
    <w:lvl w:ilvl="1">
      <w:start w:val="1"/>
      <w:numFmt w:val="lowerRoman"/>
      <w:lvlText w:val="%1.%2."/>
      <w:lvlJc w:val="left"/>
      <w:pPr>
        <w:tabs>
          <w:tab w:val="num" w:pos="0"/>
        </w:tabs>
        <w:ind w:left="2052" w:hanging="720"/>
      </w:pPr>
    </w:lvl>
    <w:lvl w:ilvl="2">
      <w:start w:val="1"/>
      <w:numFmt w:val="lowerRoman"/>
      <w:lvlText w:val="%1.%2.%3."/>
      <w:lvlJc w:val="right"/>
      <w:pPr>
        <w:tabs>
          <w:tab w:val="num" w:pos="0"/>
        </w:tabs>
        <w:ind w:left="2412" w:hanging="180"/>
      </w:pPr>
    </w:lvl>
    <w:lvl w:ilvl="3">
      <w:start w:val="1"/>
      <w:numFmt w:val="decimal"/>
      <w:lvlText w:val="%1.%2.%3.%4."/>
      <w:lvlJc w:val="left"/>
      <w:pPr>
        <w:tabs>
          <w:tab w:val="num" w:pos="0"/>
        </w:tabs>
        <w:ind w:left="3132" w:hanging="360"/>
      </w:pPr>
    </w:lvl>
    <w:lvl w:ilvl="4">
      <w:start w:val="1"/>
      <w:numFmt w:val="lowerLetter"/>
      <w:lvlText w:val="%1.%2.%3.%4.%5."/>
      <w:lvlJc w:val="left"/>
      <w:pPr>
        <w:tabs>
          <w:tab w:val="num" w:pos="0"/>
        </w:tabs>
        <w:ind w:left="3852" w:hanging="360"/>
      </w:pPr>
    </w:lvl>
    <w:lvl w:ilvl="5">
      <w:start w:val="1"/>
      <w:numFmt w:val="lowerRoman"/>
      <w:lvlText w:val="%1.%2.%3.%4.%5.%6."/>
      <w:lvlJc w:val="right"/>
      <w:pPr>
        <w:tabs>
          <w:tab w:val="num" w:pos="0"/>
        </w:tabs>
        <w:ind w:left="4572" w:hanging="180"/>
      </w:pPr>
    </w:lvl>
    <w:lvl w:ilvl="6">
      <w:start w:val="1"/>
      <w:numFmt w:val="decimal"/>
      <w:lvlText w:val="%1.%2.%3.%4.%5.%6.%7."/>
      <w:lvlJc w:val="left"/>
      <w:pPr>
        <w:tabs>
          <w:tab w:val="num" w:pos="0"/>
        </w:tabs>
        <w:ind w:left="5292" w:hanging="360"/>
      </w:pPr>
    </w:lvl>
    <w:lvl w:ilvl="7">
      <w:start w:val="1"/>
      <w:numFmt w:val="lowerLetter"/>
      <w:lvlText w:val="%1.%2.%3.%4.%5.%6.%7.%8."/>
      <w:lvlJc w:val="left"/>
      <w:pPr>
        <w:tabs>
          <w:tab w:val="num" w:pos="0"/>
        </w:tabs>
        <w:ind w:left="6012" w:hanging="360"/>
      </w:pPr>
    </w:lvl>
    <w:lvl w:ilvl="8">
      <w:start w:val="1"/>
      <w:numFmt w:val="lowerRoman"/>
      <w:lvlText w:val="%1.%2.%3.%4.%5.%6.%7.%8.%9."/>
      <w:lvlJc w:val="right"/>
      <w:pPr>
        <w:tabs>
          <w:tab w:val="num" w:pos="0"/>
        </w:tabs>
        <w:ind w:left="6732" w:hanging="180"/>
      </w:pPr>
    </w:lvl>
  </w:abstractNum>
  <w:abstractNum w:abstractNumId="9">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bering>
</file>

<file path=word/settings.xml><?xml version="1.0" encoding="utf-8"?>
<w:settings xmlns:w="http://schemas.openxmlformats.org/wordprocessingml/2006/main">
  <w:zoom w:percent="100"/>
  <w:defaultTabStop w:val="720"/>
  <w:autoHyphenation w:val="true"/>
  <w:footnotePr>
    <w:numFmt w:val="decimal"/>
    <w:footnote w:id="0"/>
    <w:footnote w:id="1"/>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hyphenationZone w:val="425"/>
  <w:themeFontLang w:val="pt-BR"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lang w:val="pt-BR" w:eastAsia="pt-BR"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widowControl/>
      <w:bidi w:val="0"/>
      <w:spacing w:before="0" w:after="0"/>
      <w:jc w:val="left"/>
    </w:pPr>
    <w:rPr>
      <w:rFonts w:ascii="Times New Roman" w:hAnsi="Times New Roman" w:eastAsia="Times New Roman" w:cs="Times New Roman"/>
      <w:color w:val="auto"/>
      <w:kern w:val="0"/>
      <w:sz w:val="20"/>
      <w:szCs w:val="20"/>
      <w:lang w:val="pt-BR" w:eastAsia="pt-BR" w:bidi="ar-SA"/>
    </w:rPr>
  </w:style>
  <w:style w:type="paragraph" w:styleId="Ttulo1">
    <w:name w:val="Heading 1"/>
    <w:basedOn w:val="Normal"/>
    <w:next w:val="Normal"/>
    <w:uiPriority w:val="9"/>
    <w:qFormat/>
    <w:pPr>
      <w:tabs>
        <w:tab w:val="clear" w:pos="720"/>
        <w:tab w:val="left" w:pos="360" w:leader="none"/>
        <w:tab w:val="left" w:pos="432" w:leader="none"/>
      </w:tabs>
      <w:spacing w:before="280" w:after="140"/>
      <w:outlineLvl w:val="0"/>
    </w:pPr>
    <w:rPr>
      <w:rFonts w:ascii="Arial Black" w:hAnsi="Arial Black" w:eastAsia="Arial Black" w:cs="Arial Black"/>
      <w:color w:val="000000"/>
      <w:sz w:val="28"/>
      <w:szCs w:val="28"/>
    </w:rPr>
  </w:style>
  <w:style w:type="paragraph" w:styleId="Ttulo2">
    <w:name w:val="Heading 2"/>
    <w:basedOn w:val="Normal"/>
    <w:next w:val="Normal"/>
    <w:uiPriority w:val="9"/>
    <w:unhideWhenUsed/>
    <w:qFormat/>
    <w:pPr>
      <w:tabs>
        <w:tab w:val="clear" w:pos="720"/>
        <w:tab w:val="left" w:pos="360" w:leader="none"/>
        <w:tab w:val="left" w:pos="576" w:leader="none"/>
      </w:tabs>
      <w:spacing w:before="120" w:after="120"/>
      <w:outlineLvl w:val="1"/>
    </w:pPr>
    <w:rPr>
      <w:rFonts w:ascii="Arial" w:hAnsi="Arial" w:eastAsia="Arial" w:cs="Arial"/>
      <w:b/>
      <w:color w:val="000000"/>
      <w:sz w:val="24"/>
      <w:szCs w:val="24"/>
    </w:rPr>
  </w:style>
  <w:style w:type="paragraph" w:styleId="Ttulo3">
    <w:name w:val="Heading 3"/>
    <w:basedOn w:val="Normal"/>
    <w:next w:val="Normal"/>
    <w:uiPriority w:val="9"/>
    <w:unhideWhenUsed/>
    <w:qFormat/>
    <w:pPr>
      <w:tabs>
        <w:tab w:val="left" w:pos="360" w:leader="none"/>
        <w:tab w:val="left" w:pos="720" w:leader="none"/>
      </w:tabs>
      <w:spacing w:before="120" w:after="120"/>
      <w:outlineLvl w:val="2"/>
    </w:pPr>
    <w:rPr>
      <w:b/>
      <w:color w:val="000000"/>
      <w:sz w:val="24"/>
      <w:szCs w:val="24"/>
    </w:rPr>
  </w:style>
  <w:style w:type="paragraph" w:styleId="Ttulo4">
    <w:name w:val="Heading 4"/>
    <w:basedOn w:val="Normal"/>
    <w:next w:val="Normal"/>
    <w:uiPriority w:val="9"/>
    <w:semiHidden/>
    <w:unhideWhenUsed/>
    <w:qFormat/>
    <w:pPr>
      <w:keepNext w:val="true"/>
      <w:keepLines/>
      <w:spacing w:before="240" w:after="40"/>
      <w:outlineLvl w:val="3"/>
    </w:pPr>
    <w:rPr>
      <w:b/>
      <w:sz w:val="24"/>
      <w:szCs w:val="24"/>
    </w:rPr>
  </w:style>
  <w:style w:type="paragraph" w:styleId="Ttulo5">
    <w:name w:val="Heading 5"/>
    <w:basedOn w:val="Normal"/>
    <w:next w:val="Normal"/>
    <w:uiPriority w:val="9"/>
    <w:semiHidden/>
    <w:unhideWhenUsed/>
    <w:qFormat/>
    <w:pPr>
      <w:keepNext w:val="true"/>
      <w:keepLines/>
      <w:spacing w:before="220" w:after="40"/>
      <w:outlineLvl w:val="4"/>
    </w:pPr>
    <w:rPr>
      <w:b/>
      <w:sz w:val="22"/>
      <w:szCs w:val="22"/>
    </w:rPr>
  </w:style>
  <w:style w:type="paragraph" w:styleId="Ttulo6">
    <w:name w:val="Heading 6"/>
    <w:basedOn w:val="Normal"/>
    <w:next w:val="Normal"/>
    <w:uiPriority w:val="9"/>
    <w:semiHidden/>
    <w:unhideWhenUsed/>
    <w:qFormat/>
    <w:pPr>
      <w:keepNext w:val="true"/>
      <w:keepLines/>
      <w:spacing w:before="200" w:after="40"/>
      <w:outlineLvl w:val="5"/>
    </w:pPr>
    <w:rPr>
      <w:b/>
    </w:rPr>
  </w:style>
  <w:style w:type="character" w:styleId="DefaultParagraphFont" w:default="1">
    <w:name w:val="Default Paragraph Font"/>
    <w:uiPriority w:val="1"/>
    <w:semiHidden/>
    <w:unhideWhenUsed/>
    <w:qFormat/>
    <w:rPr/>
  </w:style>
  <w:style w:type="character" w:styleId="Strong">
    <w:name w:val="Strong"/>
    <w:basedOn w:val="DefaultParagraphFont"/>
    <w:uiPriority w:val="22"/>
    <w:qFormat/>
    <w:rsid w:val="00794b38"/>
    <w:rPr>
      <w:b/>
      <w:bCs/>
    </w:rPr>
  </w:style>
  <w:style w:type="character" w:styleId="LinkdaInternet">
    <w:name w:val="Link da Internet"/>
    <w:rPr>
      <w:color w:val="000080"/>
      <w:u w:val="single"/>
      <w:lang w:val="zxx" w:eastAsia="zxx" w:bidi="zxx"/>
    </w:rPr>
  </w:style>
  <w:style w:type="character" w:styleId="Caracteresdenotaderodap">
    <w:name w:val="Caracteres de nota de rodapé"/>
    <w:qFormat/>
    <w:rPr/>
  </w:style>
  <w:style w:type="character" w:styleId="Ncoradanotaderodap">
    <w:name w:val="Âncora da nota de rodapé"/>
    <w:rPr>
      <w:vertAlign w:val="superscript"/>
    </w:rPr>
  </w:style>
  <w:style w:type="character" w:styleId="Ncoradanotadefim">
    <w:name w:val="Âncora da nota de fim"/>
    <w:rPr>
      <w:vertAlign w:val="superscript"/>
    </w:rPr>
  </w:style>
  <w:style w:type="character" w:styleId="Caracteresdenotadefim">
    <w:name w:val="Caracteres de nota de fim"/>
    <w:qFormat/>
    <w:rPr/>
  </w:style>
  <w:style w:type="paragraph" w:styleId="Ttulo">
    <w:name w:val="Título"/>
    <w:basedOn w:val="Normal"/>
    <w:next w:val="Corpodotexto"/>
    <w:qFormat/>
    <w:pPr>
      <w:keepNext w:val="true"/>
      <w:spacing w:before="240" w:after="120"/>
    </w:pPr>
    <w:rPr>
      <w:rFonts w:ascii="Liberation Sans" w:hAnsi="Liberation Sans" w:eastAsia="Microsoft YaHei" w:cs="Arial Unicode MS"/>
      <w:sz w:val="28"/>
      <w:szCs w:val="28"/>
    </w:rPr>
  </w:style>
  <w:style w:type="paragraph" w:styleId="Corpodotexto">
    <w:name w:val="Body Text"/>
    <w:basedOn w:val="Normal"/>
    <w:pPr>
      <w:spacing w:lineRule="auto" w:line="276" w:before="0" w:after="140"/>
    </w:pPr>
    <w:rPr/>
  </w:style>
  <w:style w:type="paragraph" w:styleId="Lista">
    <w:name w:val="List"/>
    <w:basedOn w:val="Corpodotexto"/>
    <w:pPr/>
    <w:rPr>
      <w:rFonts w:cs="Arial Unicode MS"/>
    </w:rPr>
  </w:style>
  <w:style w:type="paragraph" w:styleId="Legenda">
    <w:name w:val="Caption"/>
    <w:basedOn w:val="Normal"/>
    <w:qFormat/>
    <w:pPr>
      <w:suppressLineNumbers/>
      <w:spacing w:before="120" w:after="120"/>
    </w:pPr>
    <w:rPr>
      <w:rFonts w:cs="Arial Unicode MS"/>
      <w:i/>
      <w:iCs/>
      <w:sz w:val="24"/>
      <w:szCs w:val="24"/>
    </w:rPr>
  </w:style>
  <w:style w:type="paragraph" w:styleId="Ndice">
    <w:name w:val="Índice"/>
    <w:basedOn w:val="Normal"/>
    <w:qFormat/>
    <w:pPr>
      <w:suppressLineNumbers/>
    </w:pPr>
    <w:rPr>
      <w:rFonts w:cs="Arial Unicode MS"/>
    </w:rPr>
  </w:style>
  <w:style w:type="paragraph" w:styleId="Ttulododocumento">
    <w:name w:val="Title"/>
    <w:basedOn w:val="Normal"/>
    <w:next w:val="Normal"/>
    <w:uiPriority w:val="10"/>
    <w:qFormat/>
    <w:pPr>
      <w:keepNext w:val="true"/>
      <w:spacing w:before="0" w:after="960"/>
      <w:jc w:val="center"/>
    </w:pPr>
    <w:rPr>
      <w:rFonts w:ascii="Arial Black" w:hAnsi="Arial Black" w:eastAsia="Arial Black" w:cs="Arial Black"/>
      <w:color w:val="000000"/>
      <w:sz w:val="48"/>
      <w:szCs w:val="48"/>
    </w:rPr>
  </w:style>
  <w:style w:type="paragraph" w:styleId="Subttulo">
    <w:name w:val="Subtitle"/>
    <w:basedOn w:val="Normal"/>
    <w:next w:val="Normal"/>
    <w:uiPriority w:val="11"/>
    <w:qFormat/>
    <w:pPr>
      <w:keepNext w:val="true"/>
      <w:spacing w:before="240" w:after="120"/>
      <w:jc w:val="center"/>
    </w:pPr>
    <w:rPr>
      <w:rFonts w:ascii="MS Mincho" w:hAnsi="MS Mincho" w:eastAsia="MS Mincho" w:cs="MS Mincho"/>
      <w:i/>
      <w:color w:val="000000"/>
      <w:sz w:val="28"/>
      <w:szCs w:val="28"/>
    </w:rPr>
  </w:style>
  <w:style w:type="paragraph" w:styleId="ListParagraph">
    <w:name w:val="List Paragraph"/>
    <w:basedOn w:val="Normal"/>
    <w:uiPriority w:val="34"/>
    <w:qFormat/>
    <w:rsid w:val="003c312e"/>
    <w:pPr>
      <w:spacing w:before="0" w:after="0"/>
      <w:ind w:left="720" w:hanging="0"/>
      <w:contextualSpacing/>
    </w:pPr>
    <w:rPr/>
  </w:style>
  <w:style w:type="paragraph" w:styleId="NormalWeb">
    <w:name w:val="Normal (Web)"/>
    <w:basedOn w:val="Normal"/>
    <w:uiPriority w:val="99"/>
    <w:unhideWhenUsed/>
    <w:qFormat/>
    <w:rsid w:val="00794b38"/>
    <w:pPr>
      <w:spacing w:beforeAutospacing="1" w:afterAutospacing="1"/>
    </w:pPr>
    <w:rPr>
      <w:sz w:val="24"/>
      <w:szCs w:val="24"/>
    </w:rPr>
  </w:style>
  <w:style w:type="paragraph" w:styleId="Notaderodap">
    <w:name w:val="Footnote Text"/>
    <w:basedOn w:val="Normal"/>
    <w:pPr/>
    <w:rPr/>
  </w:style>
  <w:style w:type="paragraph" w:styleId="CabealhoeRodap">
    <w:name w:val="Cabeçalho e Rodapé"/>
    <w:basedOn w:val="Normal"/>
    <w:qFormat/>
    <w:pPr/>
    <w:rPr/>
  </w:style>
  <w:style w:type="paragraph" w:styleId="Cabealho">
    <w:name w:val="Header"/>
    <w:basedOn w:val="CabealhoeRodap"/>
    <w:pPr/>
    <w:rPr/>
  </w:style>
  <w:style w:type="paragraph" w:styleId="Rodap">
    <w:name w:val="Footer"/>
    <w:basedOn w:val="CabealhoeRodap"/>
    <w:pPr/>
    <w:rPr/>
  </w:style>
  <w:style w:type="numbering" w:styleId="NoList" w:default="1">
    <w:name w:val="No List"/>
    <w:uiPriority w:val="99"/>
    <w:semiHidden/>
    <w:unhideWhenUsed/>
    <w:qFormat/>
  </w:style>
  <w:style w:type="table" w:default="1" w:styleId="Tabelanormal">
    <w:name w:val="Normal Table"/>
    <w:uiPriority w:val="99"/>
    <w:semiHidden/>
    <w:unhideWhenUsed/>
    <w:tblPr>
      <w:tblCellMar>
        <w:top w:w="0" w:type="dxa"/>
        <w:left w:w="108" w:type="dxa"/>
        <w:bottom w:w="0" w:type="dxa"/>
        <w:right w:w="108" w:type="dxa"/>
      </w:tblCellMar>
    </w:tblPr>
  </w:style>
  <w:style w:type="table" w:customStyle="1" w:styleId="TableNormal">
    <w:name w:val="Table Normal"/>
    <w:tblPr>
      <w:tblCellMar>
        <w:top w:w="0" w:type="dxa"/>
        <w:left w:w="0" w:type="dxa"/>
        <w:bottom w:w="0" w:type="dxa"/>
        <w:right w:w="0"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mailto:contratacao@tjes.jus.br" TargetMode="External"/><Relationship Id="rId3" Type="http://schemas.openxmlformats.org/officeDocument/2006/relationships/hyperlink" Target="mailto:contratacao@tjes.jus.br" TargetMode="External"/><Relationship Id="rId4" Type="http://schemas.openxmlformats.org/officeDocument/2006/relationships/hyperlink" Target="http://aplicativos.tjes.jus.br/sistemaspublicos/consulta_licitacao/consulta.cfm" TargetMode="External"/><Relationship Id="rId5" Type="http://schemas.openxmlformats.org/officeDocument/2006/relationships/hyperlink" Target="about:blank" TargetMode="External"/><Relationship Id="rId6" Type="http://schemas.openxmlformats.org/officeDocument/2006/relationships/hyperlink" Target="https://www.planalto.gov.br/ccivil_03/constituicao/constituicaocompilado.htm" TargetMode="External"/><Relationship Id="rId7" Type="http://schemas.openxmlformats.org/officeDocument/2006/relationships/hyperlink" Target="https://www.planalto.gov.br/ccivil_03/constituicao/constituicaocompilado.htm" TargetMode="External"/><Relationship Id="rId8" Type="http://schemas.openxmlformats.org/officeDocument/2006/relationships/hyperlink" Target="https://www.planalto.gov.br/ccivil_03/leis/lcp/lcp123.htm" TargetMode="External"/><Relationship Id="rId9" Type="http://schemas.openxmlformats.org/officeDocument/2006/relationships/hyperlink" Target="https://www.planalto.gov.br/ccivil_03/leis/lcp/lcp123.htm" TargetMode="External"/><Relationship Id="rId10" Type="http://schemas.openxmlformats.org/officeDocument/2006/relationships/hyperlink" Target="http://www.planalto.gov.br/ccivil_03/_ato2019-2022/2021/lei/L14133.htm" TargetMode="External"/><Relationship Id="rId11" Type="http://schemas.openxmlformats.org/officeDocument/2006/relationships/hyperlink" Target="http://www.planalto.gov.br/ccivil_03/_ato2019-2022/2021/lei/L14133.htm" TargetMode="External"/><Relationship Id="rId12" Type="http://schemas.openxmlformats.org/officeDocument/2006/relationships/hyperlink" Target="mailto:contratacao@tjes.jus.br" TargetMode="External"/><Relationship Id="rId13" Type="http://schemas.openxmlformats.org/officeDocument/2006/relationships/hyperlink" Target="http://comprasnet.gov.br/livre/pregao/ata0.asp" TargetMode="External"/><Relationship Id="rId14" Type="http://schemas.openxmlformats.org/officeDocument/2006/relationships/hyperlink" Target="http://www.tjes.jus.br/publicacoes/normas-de-procedimentos-intranet/" TargetMode="External"/><Relationship Id="rId15" Type="http://schemas.openxmlformats.org/officeDocument/2006/relationships/header" Target="header1.xml"/><Relationship Id="rId16" Type="http://schemas.openxmlformats.org/officeDocument/2006/relationships/footer" Target="footer1.xml"/><Relationship Id="rId17" Type="http://schemas.openxmlformats.org/officeDocument/2006/relationships/footnotes" Target="footnotes.xml"/><Relationship Id="rId18" Type="http://schemas.openxmlformats.org/officeDocument/2006/relationships/numbering" Target="numbering.xml"/><Relationship Id="rId19" Type="http://schemas.openxmlformats.org/officeDocument/2006/relationships/fontTable" Target="fontTable.xml"/><Relationship Id="rId20" Type="http://schemas.openxmlformats.org/officeDocument/2006/relationships/settings" Target="settings.xml"/><Relationship Id="rId21" Type="http://schemas.openxmlformats.org/officeDocument/2006/relationships/theme" Target="theme/theme1.xml"/><Relationship Id="rId22" Type="http://schemas.openxmlformats.org/officeDocument/2006/relationships/customXml" Target="../customXml/item1.xml"/>
</Relationships>
</file>

<file path=word/_rels/footnotes.xml.rels><?xml version="1.0" encoding="UTF-8"?>
<Relationships xmlns="http://schemas.openxmlformats.org/package/2006/relationships"><Relationship Id="rId1" Type="http://schemas.openxmlformats.org/officeDocument/2006/relationships/hyperlink" Target="http://www.iadb.org/integrity" TargetMode="External"/>
</Relationships>
</file>

<file path=word/_rels/header1.xml.rels><?xml version="1.0" encoding="UTF-8"?>
<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D37192-D7D4-4B7C-AB9B-289FAAC9EA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350</TotalTime>
  <Application>LibreOffice/7.1.6.2$Windows_X86_64 LibreOffice_project/0e133318fcee89abacd6a7d077e292f1145735c3</Application>
  <AppVersion>15.0000</AppVersion>
  <Pages>41</Pages>
  <Words>18338</Words>
  <Characters>102257</Characters>
  <CharactersWithSpaces>120036</CharactersWithSpaces>
  <Paragraphs>765</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2023-10-24T18:49:00Z</dcterms:created>
  <dc:creator>VITOR WRIGHT</dc:creator>
  <dc:description/>
  <dc:language>pt-BR</dc:language>
  <cp:lastModifiedBy/>
  <cp:lastPrinted>2023-10-25T18:40:00Z</cp:lastPrinted>
  <dcterms:modified xsi:type="dcterms:W3CDTF">2023-11-06T14:01:06Z</dcterms:modified>
  <cp:revision>8</cp:revision>
  <dc:subject/>
  <dc:title/>
</cp:coreProperties>
</file>

<file path=docProps/custom.xml><?xml version="1.0" encoding="utf-8"?>
<Properties xmlns="http://schemas.openxmlformats.org/officeDocument/2006/custom-properties" xmlns:vt="http://schemas.openxmlformats.org/officeDocument/2006/docPropsVTypes"/>
</file>